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A8" w:rsidRPr="000C727F" w:rsidRDefault="00B23EA8" w:rsidP="00152B5B">
      <w:pPr>
        <w:spacing w:after="0" w:line="264" w:lineRule="atLeast"/>
        <w:outlineLvl w:val="1"/>
        <w:rPr>
          <w:rFonts w:ascii="Times New Roman" w:eastAsia="Times New Roman" w:hAnsi="Times New Roman" w:cs="Times New Roman"/>
          <w:color w:val="333333"/>
          <w:kern w:val="36"/>
          <w:sz w:val="44"/>
          <w:szCs w:val="44"/>
        </w:rPr>
      </w:pPr>
      <w:r w:rsidRPr="000C727F">
        <w:rPr>
          <w:rFonts w:ascii="Times New Roman" w:eastAsia="Times New Roman" w:hAnsi="Times New Roman" w:cs="Times New Roman"/>
          <w:color w:val="333333"/>
          <w:kern w:val="36"/>
          <w:sz w:val="44"/>
          <w:szCs w:val="44"/>
        </w:rPr>
        <w:t>Snavely King Majoros &amp; Associates, Inc.  GSA Contract GS10F0071W</w:t>
      </w:r>
    </w:p>
    <w:p w:rsidR="00152B5B" w:rsidRPr="000C727F" w:rsidRDefault="00152B5B" w:rsidP="00152B5B">
      <w:pPr>
        <w:spacing w:after="0" w:line="264" w:lineRule="atLeast"/>
        <w:outlineLvl w:val="1"/>
        <w:rPr>
          <w:rFonts w:ascii="Times New Roman" w:eastAsia="Times New Roman" w:hAnsi="Times New Roman" w:cs="Times New Roman"/>
          <w:color w:val="333333"/>
          <w:kern w:val="36"/>
          <w:sz w:val="44"/>
          <w:szCs w:val="44"/>
        </w:rPr>
      </w:pPr>
      <w:r w:rsidRPr="000C727F">
        <w:rPr>
          <w:rFonts w:ascii="Times New Roman" w:eastAsia="Times New Roman" w:hAnsi="Times New Roman" w:cs="Times New Roman"/>
          <w:color w:val="333333"/>
          <w:kern w:val="36"/>
          <w:sz w:val="44"/>
          <w:szCs w:val="44"/>
        </w:rPr>
        <w:t>Environmental Services - Schedule 899</w:t>
      </w:r>
    </w:p>
    <w:p w:rsidR="00152B5B" w:rsidRPr="00BD6A40" w:rsidRDefault="00152B5B" w:rsidP="00152B5B">
      <w:pPr>
        <w:spacing w:before="240" w:after="240" w:line="240" w:lineRule="atLeast"/>
        <w:rPr>
          <w:rFonts w:ascii="Times New Roman" w:eastAsia="Times New Roman" w:hAnsi="Times New Roman" w:cs="Times New Roman"/>
          <w:color w:val="333333"/>
          <w:sz w:val="20"/>
          <w:szCs w:val="20"/>
        </w:rPr>
      </w:pPr>
      <w:r w:rsidRPr="00BD6A40">
        <w:rPr>
          <w:rFonts w:ascii="Times New Roman" w:eastAsia="Times New Roman" w:hAnsi="Times New Roman" w:cs="Times New Roman"/>
          <w:color w:val="333333"/>
          <w:sz w:val="20"/>
          <w:szCs w:val="20"/>
        </w:rPr>
        <w:t>Environmental Services Schedule 899 is a one-stop shop for industry experts providing support to federal agencies. Services under this Schedule are designed to support agencies in meeting their environmental requirements and streamline the contracting process by providing a faster, more cost efficient means to meet environment requirements.</w:t>
      </w:r>
    </w:p>
    <w:p w:rsidR="00152B5B" w:rsidRPr="00BD6A40" w:rsidRDefault="00152B5B" w:rsidP="00152B5B">
      <w:pPr>
        <w:spacing w:before="240" w:after="240" w:line="240" w:lineRule="atLeast"/>
        <w:rPr>
          <w:rFonts w:ascii="Times New Roman" w:eastAsia="Times New Roman" w:hAnsi="Times New Roman" w:cs="Times New Roman"/>
          <w:color w:val="333333"/>
          <w:sz w:val="20"/>
          <w:szCs w:val="20"/>
        </w:rPr>
      </w:pPr>
      <w:r w:rsidRPr="00BD6A40">
        <w:rPr>
          <w:rFonts w:ascii="Times New Roman" w:eastAsia="Times New Roman" w:hAnsi="Times New Roman" w:cs="Times New Roman"/>
          <w:color w:val="333333"/>
          <w:sz w:val="20"/>
          <w:szCs w:val="20"/>
        </w:rPr>
        <w:t>A wide variety of services and tasks can be procured through Schedule 899 from industry experts who are qualified to offer support for:</w:t>
      </w:r>
    </w:p>
    <w:p w:rsidR="00152B5B" w:rsidRPr="00BD6A40" w:rsidRDefault="00152B5B" w:rsidP="00152B5B">
      <w:pPr>
        <w:numPr>
          <w:ilvl w:val="0"/>
          <w:numId w:val="1"/>
        </w:numPr>
        <w:spacing w:before="30" w:after="30" w:line="264" w:lineRule="atLeast"/>
        <w:ind w:left="0"/>
        <w:rPr>
          <w:rFonts w:ascii="Times New Roman" w:eastAsia="Times New Roman" w:hAnsi="Times New Roman" w:cs="Times New Roman"/>
          <w:color w:val="333333"/>
          <w:sz w:val="20"/>
          <w:szCs w:val="20"/>
        </w:rPr>
      </w:pPr>
      <w:r w:rsidRPr="00BD6A40">
        <w:rPr>
          <w:rFonts w:ascii="Times New Roman" w:eastAsia="Times New Roman" w:hAnsi="Times New Roman" w:cs="Times New Roman"/>
          <w:color w:val="333333"/>
          <w:sz w:val="20"/>
          <w:szCs w:val="20"/>
        </w:rPr>
        <w:t>Strengthening federal environmental management goals in Electronics Stewardship;</w:t>
      </w:r>
    </w:p>
    <w:p w:rsidR="00152B5B" w:rsidRPr="00BD6A40" w:rsidRDefault="00152B5B" w:rsidP="00152B5B">
      <w:pPr>
        <w:numPr>
          <w:ilvl w:val="0"/>
          <w:numId w:val="1"/>
        </w:numPr>
        <w:spacing w:before="30" w:after="30" w:line="264" w:lineRule="atLeast"/>
        <w:ind w:left="0"/>
        <w:rPr>
          <w:rFonts w:ascii="Times New Roman" w:eastAsia="Times New Roman" w:hAnsi="Times New Roman" w:cs="Times New Roman"/>
          <w:color w:val="333333"/>
          <w:sz w:val="20"/>
          <w:szCs w:val="20"/>
        </w:rPr>
      </w:pPr>
      <w:r w:rsidRPr="00BD6A40">
        <w:rPr>
          <w:rFonts w:ascii="Times New Roman" w:eastAsia="Times New Roman" w:hAnsi="Times New Roman" w:cs="Times New Roman"/>
          <w:color w:val="333333"/>
          <w:sz w:val="20"/>
          <w:szCs w:val="20"/>
        </w:rPr>
        <w:t>Environmental management systems;</w:t>
      </w:r>
    </w:p>
    <w:p w:rsidR="00152B5B" w:rsidRPr="00BD6A40" w:rsidRDefault="00152B5B" w:rsidP="00152B5B">
      <w:pPr>
        <w:numPr>
          <w:ilvl w:val="0"/>
          <w:numId w:val="1"/>
        </w:numPr>
        <w:spacing w:before="30" w:after="30" w:line="264" w:lineRule="atLeast"/>
        <w:ind w:left="0"/>
        <w:rPr>
          <w:rFonts w:ascii="Times New Roman" w:eastAsia="Times New Roman" w:hAnsi="Times New Roman" w:cs="Times New Roman"/>
          <w:color w:val="333333"/>
          <w:sz w:val="20"/>
          <w:szCs w:val="20"/>
        </w:rPr>
      </w:pPr>
      <w:r w:rsidRPr="00BD6A40">
        <w:rPr>
          <w:rFonts w:ascii="Times New Roman" w:eastAsia="Times New Roman" w:hAnsi="Times New Roman" w:cs="Times New Roman"/>
          <w:color w:val="333333"/>
          <w:sz w:val="20"/>
          <w:szCs w:val="20"/>
        </w:rPr>
        <w:t>Pollution prevention, cleanup and restoration;</w:t>
      </w:r>
    </w:p>
    <w:p w:rsidR="00152B5B" w:rsidRPr="00BD6A40" w:rsidRDefault="00152B5B" w:rsidP="00152B5B">
      <w:pPr>
        <w:numPr>
          <w:ilvl w:val="0"/>
          <w:numId w:val="1"/>
        </w:numPr>
        <w:spacing w:before="30" w:after="30" w:line="264" w:lineRule="atLeast"/>
        <w:ind w:left="0"/>
        <w:rPr>
          <w:rFonts w:ascii="Times New Roman" w:eastAsia="Times New Roman" w:hAnsi="Times New Roman" w:cs="Times New Roman"/>
          <w:color w:val="333333"/>
          <w:sz w:val="20"/>
          <w:szCs w:val="20"/>
        </w:rPr>
      </w:pPr>
      <w:r w:rsidRPr="00BD6A40">
        <w:rPr>
          <w:rFonts w:ascii="Times New Roman" w:eastAsia="Times New Roman" w:hAnsi="Times New Roman" w:cs="Times New Roman"/>
          <w:color w:val="333333"/>
          <w:sz w:val="20"/>
          <w:szCs w:val="20"/>
        </w:rPr>
        <w:t>HAZMAT; and,</w:t>
      </w:r>
    </w:p>
    <w:p w:rsidR="00152B5B" w:rsidRPr="00BD6A40" w:rsidRDefault="00152B5B" w:rsidP="00152B5B">
      <w:pPr>
        <w:numPr>
          <w:ilvl w:val="0"/>
          <w:numId w:val="1"/>
        </w:numPr>
        <w:spacing w:before="30" w:after="30" w:line="264" w:lineRule="atLeast"/>
        <w:ind w:left="0"/>
        <w:rPr>
          <w:rFonts w:ascii="Times New Roman" w:eastAsia="Times New Roman" w:hAnsi="Times New Roman" w:cs="Times New Roman"/>
          <w:color w:val="333333"/>
          <w:sz w:val="20"/>
          <w:szCs w:val="20"/>
        </w:rPr>
      </w:pPr>
      <w:r w:rsidRPr="00BD6A40">
        <w:rPr>
          <w:rFonts w:ascii="Times New Roman" w:eastAsia="Times New Roman" w:hAnsi="Times New Roman" w:cs="Times New Roman"/>
          <w:color w:val="333333"/>
          <w:sz w:val="20"/>
          <w:szCs w:val="20"/>
        </w:rPr>
        <w:t>Training awareness and more.</w:t>
      </w:r>
    </w:p>
    <w:p w:rsidR="00152B5B" w:rsidRPr="00BD6A40" w:rsidRDefault="00152B5B" w:rsidP="00152B5B">
      <w:pPr>
        <w:spacing w:before="240" w:after="240" w:line="240" w:lineRule="atLeast"/>
        <w:rPr>
          <w:rFonts w:ascii="Times New Roman" w:eastAsia="Times New Roman" w:hAnsi="Times New Roman" w:cs="Times New Roman"/>
          <w:color w:val="333333"/>
          <w:sz w:val="20"/>
          <w:szCs w:val="20"/>
        </w:rPr>
      </w:pPr>
      <w:r w:rsidRPr="00BD6A40">
        <w:rPr>
          <w:rFonts w:ascii="Times New Roman" w:eastAsia="Times New Roman" w:hAnsi="Times New Roman" w:cs="Times New Roman"/>
          <w:color w:val="333333"/>
          <w:sz w:val="20"/>
          <w:szCs w:val="20"/>
        </w:rPr>
        <w:t>Reduce your agency's environmental footprint and meet agency goals through the services available on this Schedule.</w:t>
      </w:r>
      <w:r w:rsidR="000F25AD">
        <w:rPr>
          <w:rFonts w:ascii="Times New Roman" w:eastAsia="Times New Roman" w:hAnsi="Times New Roman" w:cs="Times New Roman"/>
          <w:color w:val="333333"/>
          <w:sz w:val="20"/>
          <w:szCs w:val="20"/>
        </w:rPr>
        <w:t xml:space="preserve">  </w:t>
      </w:r>
      <w:proofErr w:type="gramStart"/>
      <w:r w:rsidRPr="00BD6A40">
        <w:rPr>
          <w:rFonts w:ascii="Times New Roman" w:eastAsia="Times New Roman" w:hAnsi="Times New Roman" w:cs="Times New Roman"/>
          <w:color w:val="333333"/>
          <w:sz w:val="20"/>
          <w:szCs w:val="20"/>
        </w:rPr>
        <w:t>Variety of offerings include</w:t>
      </w:r>
      <w:proofErr w:type="gramEnd"/>
      <w:r w:rsidRPr="00BD6A40">
        <w:rPr>
          <w:rFonts w:ascii="Times New Roman" w:eastAsia="Times New Roman" w:hAnsi="Times New Roman" w:cs="Times New Roman"/>
          <w:color w:val="333333"/>
          <w:sz w:val="20"/>
          <w:szCs w:val="20"/>
        </w:rPr>
        <w:t>:</w:t>
      </w:r>
    </w:p>
    <w:p w:rsidR="000A2A9D" w:rsidRPr="00BD6A40" w:rsidRDefault="0097667F" w:rsidP="000A2A9D">
      <w:pPr>
        <w:spacing w:after="0" w:line="240" w:lineRule="atLeast"/>
        <w:rPr>
          <w:rFonts w:ascii="Times New Roman" w:eastAsia="Times New Roman" w:hAnsi="Times New Roman" w:cs="Times New Roman"/>
          <w:color w:val="333333"/>
          <w:sz w:val="20"/>
          <w:szCs w:val="20"/>
        </w:rPr>
      </w:pPr>
      <w:hyperlink r:id="rId9" w:tgtFrame="_blank" w:history="1">
        <w:r w:rsidR="000A2A9D" w:rsidRPr="00BD6A40">
          <w:rPr>
            <w:rFonts w:ascii="Times New Roman" w:eastAsia="Times New Roman" w:hAnsi="Times New Roman" w:cs="Times New Roman"/>
            <w:color w:val="3A45BF"/>
            <w:sz w:val="20"/>
            <w:szCs w:val="20"/>
          </w:rPr>
          <w:t xml:space="preserve">Schedule 899 </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61"/>
        <w:gridCol w:w="8389"/>
      </w:tblGrid>
      <w:tr w:rsidR="000A2A9D" w:rsidRPr="00BD6A40" w:rsidTr="007A195B">
        <w:trPr>
          <w:tblCellSpacing w:w="15" w:type="dxa"/>
        </w:trPr>
        <w:tc>
          <w:tcPr>
            <w:tcW w:w="1316" w:type="dxa"/>
            <w:tcBorders>
              <w:top w:val="single" w:sz="12" w:space="0" w:color="FFFFFF"/>
              <w:left w:val="single" w:sz="12" w:space="0" w:color="FFFFFF"/>
              <w:bottom w:val="single" w:sz="12" w:space="0" w:color="FFFFFF"/>
              <w:right w:val="single" w:sz="12" w:space="0" w:color="FFFFFF"/>
            </w:tcBorders>
            <w:shd w:val="clear" w:color="auto" w:fill="5C69AD"/>
            <w:tcMar>
              <w:top w:w="75" w:type="dxa"/>
              <w:left w:w="195" w:type="dxa"/>
              <w:bottom w:w="75" w:type="dxa"/>
              <w:right w:w="75" w:type="dxa"/>
            </w:tcMar>
            <w:vAlign w:val="center"/>
            <w:hideMark/>
          </w:tcPr>
          <w:p w:rsidR="000A2A9D" w:rsidRPr="00BD6A40" w:rsidRDefault="000A2A9D" w:rsidP="000A2A9D">
            <w:pPr>
              <w:spacing w:after="75" w:line="240" w:lineRule="atLeast"/>
              <w:rPr>
                <w:rFonts w:ascii="Times New Roman" w:eastAsia="Times New Roman" w:hAnsi="Times New Roman" w:cs="Times New Roman"/>
                <w:b/>
                <w:bCs/>
                <w:color w:val="FFFFFF"/>
                <w:sz w:val="20"/>
                <w:szCs w:val="20"/>
              </w:rPr>
            </w:pPr>
            <w:r w:rsidRPr="00BD6A40">
              <w:rPr>
                <w:rFonts w:ascii="Times New Roman" w:eastAsia="Times New Roman" w:hAnsi="Times New Roman" w:cs="Times New Roman"/>
                <w:b/>
                <w:bCs/>
                <w:color w:val="FFFFFF"/>
                <w:sz w:val="20"/>
                <w:szCs w:val="20"/>
              </w:rPr>
              <w:t>SIN Number</w:t>
            </w:r>
          </w:p>
        </w:tc>
        <w:tc>
          <w:tcPr>
            <w:tcW w:w="8344" w:type="dxa"/>
            <w:tcBorders>
              <w:top w:val="single" w:sz="12" w:space="0" w:color="FFFFFF"/>
              <w:left w:val="single" w:sz="12" w:space="0" w:color="FFFFFF"/>
              <w:bottom w:val="single" w:sz="12" w:space="0" w:color="FFFFFF"/>
              <w:right w:val="single" w:sz="12" w:space="0" w:color="FFFFFF"/>
            </w:tcBorders>
            <w:shd w:val="clear" w:color="auto" w:fill="5C69AD"/>
            <w:tcMar>
              <w:top w:w="75" w:type="dxa"/>
              <w:left w:w="195" w:type="dxa"/>
              <w:bottom w:w="75" w:type="dxa"/>
              <w:right w:w="75" w:type="dxa"/>
            </w:tcMar>
            <w:vAlign w:val="center"/>
            <w:hideMark/>
          </w:tcPr>
          <w:p w:rsidR="000A2A9D" w:rsidRPr="00BD6A40" w:rsidRDefault="000A2A9D" w:rsidP="000A2A9D">
            <w:pPr>
              <w:spacing w:after="75" w:line="240" w:lineRule="atLeast"/>
              <w:rPr>
                <w:rFonts w:ascii="Times New Roman" w:eastAsia="Times New Roman" w:hAnsi="Times New Roman" w:cs="Times New Roman"/>
                <w:b/>
                <w:bCs/>
                <w:color w:val="FFFFFF"/>
                <w:sz w:val="20"/>
                <w:szCs w:val="20"/>
              </w:rPr>
            </w:pPr>
            <w:r w:rsidRPr="00BD6A40">
              <w:rPr>
                <w:rFonts w:ascii="Times New Roman" w:eastAsia="Times New Roman" w:hAnsi="Times New Roman" w:cs="Times New Roman"/>
                <w:b/>
                <w:bCs/>
                <w:color w:val="FFFFFF"/>
                <w:sz w:val="20"/>
                <w:szCs w:val="20"/>
              </w:rPr>
              <w:t>SIN Name</w:t>
            </w:r>
          </w:p>
        </w:tc>
      </w:tr>
      <w:tr w:rsidR="000A2A9D" w:rsidRPr="00BD6A40" w:rsidTr="00E112E8">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F4F7FB"/>
            <w:tcMar>
              <w:top w:w="75" w:type="dxa"/>
              <w:left w:w="150" w:type="dxa"/>
              <w:bottom w:w="75" w:type="dxa"/>
              <w:right w:w="75" w:type="dxa"/>
            </w:tcMar>
            <w:hideMark/>
          </w:tcPr>
          <w:p w:rsidR="000A2A9D" w:rsidRPr="00BD6A40" w:rsidRDefault="0097667F" w:rsidP="000A2A9D">
            <w:pPr>
              <w:spacing w:after="75" w:line="240" w:lineRule="atLeast"/>
              <w:rPr>
                <w:rFonts w:ascii="Times New Roman" w:eastAsia="Times New Roman" w:hAnsi="Times New Roman" w:cs="Times New Roman"/>
                <w:color w:val="333333"/>
                <w:sz w:val="20"/>
                <w:szCs w:val="20"/>
              </w:rPr>
            </w:pPr>
            <w:hyperlink r:id="rId10" w:tgtFrame="_blank" w:history="1">
              <w:r w:rsidR="000A2A9D" w:rsidRPr="00BD6A40">
                <w:rPr>
                  <w:rFonts w:ascii="Times New Roman" w:eastAsia="Times New Roman" w:hAnsi="Times New Roman" w:cs="Times New Roman"/>
                  <w:color w:val="3A45BF"/>
                  <w:sz w:val="20"/>
                  <w:szCs w:val="20"/>
                  <w:u w:val="single"/>
                </w:rPr>
                <w:t>899 1</w:t>
              </w:r>
            </w:hyperlink>
          </w:p>
        </w:tc>
        <w:tc>
          <w:tcPr>
            <w:tcW w:w="0" w:type="auto"/>
            <w:tcBorders>
              <w:top w:val="single" w:sz="12" w:space="0" w:color="FFFFFF"/>
              <w:left w:val="single" w:sz="12" w:space="0" w:color="FFFFFF"/>
              <w:bottom w:val="single" w:sz="12" w:space="0" w:color="FFFFFF"/>
              <w:right w:val="single" w:sz="12" w:space="0" w:color="FFFFFF"/>
            </w:tcBorders>
            <w:shd w:val="clear" w:color="auto" w:fill="F4F7FB"/>
            <w:tcMar>
              <w:top w:w="75" w:type="dxa"/>
              <w:left w:w="150" w:type="dxa"/>
              <w:bottom w:w="75" w:type="dxa"/>
              <w:right w:w="75" w:type="dxa"/>
            </w:tcMar>
            <w:hideMark/>
          </w:tcPr>
          <w:p w:rsidR="000A2A9D" w:rsidRPr="00BD6A40" w:rsidRDefault="000A2A9D" w:rsidP="000A2A9D">
            <w:pPr>
              <w:spacing w:after="75" w:line="240" w:lineRule="atLeast"/>
              <w:rPr>
                <w:rFonts w:ascii="Times New Roman" w:eastAsia="Times New Roman" w:hAnsi="Times New Roman" w:cs="Times New Roman"/>
                <w:color w:val="333333"/>
                <w:sz w:val="20"/>
                <w:szCs w:val="20"/>
              </w:rPr>
            </w:pPr>
            <w:r w:rsidRPr="00BD6A40">
              <w:rPr>
                <w:rFonts w:ascii="Times New Roman" w:eastAsia="Times New Roman" w:hAnsi="Times New Roman" w:cs="Times New Roman"/>
                <w:color w:val="333333"/>
                <w:sz w:val="20"/>
                <w:szCs w:val="20"/>
              </w:rPr>
              <w:t>Environmental Consulting Services  NAICS 541620</w:t>
            </w:r>
          </w:p>
        </w:tc>
      </w:tr>
      <w:tr w:rsidR="000A2A9D" w:rsidRPr="00BD6A40" w:rsidTr="00E112E8">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E7EBF7"/>
            <w:tcMar>
              <w:top w:w="75" w:type="dxa"/>
              <w:left w:w="150" w:type="dxa"/>
              <w:bottom w:w="75" w:type="dxa"/>
              <w:right w:w="75" w:type="dxa"/>
            </w:tcMar>
            <w:hideMark/>
          </w:tcPr>
          <w:p w:rsidR="000A2A9D" w:rsidRPr="00BD6A40" w:rsidRDefault="0097667F" w:rsidP="000A2A9D">
            <w:pPr>
              <w:spacing w:after="75" w:line="240" w:lineRule="atLeast"/>
              <w:rPr>
                <w:rFonts w:ascii="Times New Roman" w:eastAsia="Times New Roman" w:hAnsi="Times New Roman" w:cs="Times New Roman"/>
                <w:color w:val="333333"/>
                <w:sz w:val="20"/>
                <w:szCs w:val="20"/>
              </w:rPr>
            </w:pPr>
            <w:hyperlink r:id="rId11" w:tgtFrame="_blank" w:history="1">
              <w:r w:rsidR="000A2A9D" w:rsidRPr="00BD6A40">
                <w:rPr>
                  <w:rFonts w:ascii="Times New Roman" w:eastAsia="Times New Roman" w:hAnsi="Times New Roman" w:cs="Times New Roman"/>
                  <w:color w:val="3A45BF"/>
                  <w:sz w:val="20"/>
                  <w:szCs w:val="20"/>
                  <w:u w:val="single"/>
                </w:rPr>
                <w:t>899 3</w:t>
              </w:r>
            </w:hyperlink>
          </w:p>
        </w:tc>
        <w:tc>
          <w:tcPr>
            <w:tcW w:w="0" w:type="auto"/>
            <w:tcBorders>
              <w:top w:val="single" w:sz="12" w:space="0" w:color="FFFFFF"/>
              <w:left w:val="single" w:sz="12" w:space="0" w:color="FFFFFF"/>
              <w:bottom w:val="single" w:sz="12" w:space="0" w:color="FFFFFF"/>
              <w:right w:val="single" w:sz="12" w:space="0" w:color="FFFFFF"/>
            </w:tcBorders>
            <w:shd w:val="clear" w:color="auto" w:fill="E7EBF7"/>
            <w:tcMar>
              <w:top w:w="75" w:type="dxa"/>
              <w:left w:w="150" w:type="dxa"/>
              <w:bottom w:w="75" w:type="dxa"/>
              <w:right w:w="75" w:type="dxa"/>
            </w:tcMar>
            <w:hideMark/>
          </w:tcPr>
          <w:p w:rsidR="000A2A9D" w:rsidRPr="00BD6A40" w:rsidRDefault="000A2A9D" w:rsidP="000A2A9D">
            <w:pPr>
              <w:spacing w:after="75" w:line="240" w:lineRule="atLeast"/>
              <w:rPr>
                <w:rFonts w:ascii="Times New Roman" w:eastAsia="Times New Roman" w:hAnsi="Times New Roman" w:cs="Times New Roman"/>
                <w:color w:val="333333"/>
                <w:sz w:val="20"/>
                <w:szCs w:val="20"/>
              </w:rPr>
            </w:pPr>
            <w:r w:rsidRPr="00BD6A40">
              <w:rPr>
                <w:rFonts w:ascii="Times New Roman" w:eastAsia="Times New Roman" w:hAnsi="Times New Roman" w:cs="Times New Roman"/>
                <w:color w:val="333333"/>
                <w:sz w:val="20"/>
                <w:szCs w:val="20"/>
              </w:rPr>
              <w:t>Environmental Training Services NAICS 541620</w:t>
            </w:r>
          </w:p>
        </w:tc>
      </w:tr>
      <w:tr w:rsidR="000A2A9D" w:rsidRPr="00BD6A40" w:rsidTr="00E112E8">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F4F7FB"/>
            <w:tcMar>
              <w:top w:w="75" w:type="dxa"/>
              <w:left w:w="150" w:type="dxa"/>
              <w:bottom w:w="75" w:type="dxa"/>
              <w:right w:w="75" w:type="dxa"/>
            </w:tcMar>
            <w:hideMark/>
          </w:tcPr>
          <w:p w:rsidR="000A2A9D" w:rsidRPr="00BD6A40" w:rsidRDefault="0097667F" w:rsidP="000A2A9D">
            <w:pPr>
              <w:spacing w:after="75" w:line="240" w:lineRule="atLeast"/>
              <w:rPr>
                <w:rFonts w:ascii="Times New Roman" w:eastAsia="Times New Roman" w:hAnsi="Times New Roman" w:cs="Times New Roman"/>
                <w:color w:val="333333"/>
                <w:sz w:val="20"/>
                <w:szCs w:val="20"/>
              </w:rPr>
            </w:pPr>
            <w:hyperlink r:id="rId12" w:tgtFrame="_blank" w:history="1">
              <w:r w:rsidR="000A2A9D" w:rsidRPr="00BD6A40">
                <w:rPr>
                  <w:rFonts w:ascii="Times New Roman" w:eastAsia="Times New Roman" w:hAnsi="Times New Roman" w:cs="Times New Roman"/>
                  <w:color w:val="3A45BF"/>
                  <w:sz w:val="20"/>
                  <w:szCs w:val="20"/>
                  <w:u w:val="single"/>
                </w:rPr>
                <w:t>899 5</w:t>
              </w:r>
            </w:hyperlink>
          </w:p>
        </w:tc>
        <w:tc>
          <w:tcPr>
            <w:tcW w:w="0" w:type="auto"/>
            <w:tcBorders>
              <w:top w:val="single" w:sz="12" w:space="0" w:color="FFFFFF"/>
              <w:left w:val="single" w:sz="12" w:space="0" w:color="FFFFFF"/>
              <w:bottom w:val="single" w:sz="12" w:space="0" w:color="FFFFFF"/>
              <w:right w:val="single" w:sz="12" w:space="0" w:color="FFFFFF"/>
            </w:tcBorders>
            <w:shd w:val="clear" w:color="auto" w:fill="F4F7FB"/>
            <w:tcMar>
              <w:top w:w="75" w:type="dxa"/>
              <w:left w:w="150" w:type="dxa"/>
              <w:bottom w:w="75" w:type="dxa"/>
              <w:right w:w="75" w:type="dxa"/>
            </w:tcMar>
            <w:hideMark/>
          </w:tcPr>
          <w:p w:rsidR="000A2A9D" w:rsidRPr="00BD6A40" w:rsidRDefault="000A2A9D" w:rsidP="000A2A9D">
            <w:pPr>
              <w:spacing w:after="75" w:line="240" w:lineRule="atLeast"/>
              <w:rPr>
                <w:rFonts w:ascii="Times New Roman" w:eastAsia="Times New Roman" w:hAnsi="Times New Roman" w:cs="Times New Roman"/>
                <w:color w:val="333333"/>
                <w:sz w:val="20"/>
                <w:szCs w:val="20"/>
              </w:rPr>
            </w:pPr>
            <w:r w:rsidRPr="00BD6A40">
              <w:rPr>
                <w:rFonts w:ascii="Times New Roman" w:eastAsia="Times New Roman" w:hAnsi="Times New Roman" w:cs="Times New Roman"/>
                <w:color w:val="333333"/>
                <w:sz w:val="20"/>
                <w:szCs w:val="20"/>
              </w:rPr>
              <w:t>Materials and Waste, Recycling &amp; Disposal Services NAICS 562920, 562112</w:t>
            </w:r>
          </w:p>
        </w:tc>
      </w:tr>
      <w:tr w:rsidR="000A2A9D" w:rsidRPr="00BD6A40" w:rsidTr="00E112E8">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E7EBF7"/>
            <w:tcMar>
              <w:top w:w="75" w:type="dxa"/>
              <w:left w:w="150" w:type="dxa"/>
              <w:bottom w:w="75" w:type="dxa"/>
              <w:right w:w="75" w:type="dxa"/>
            </w:tcMar>
            <w:hideMark/>
          </w:tcPr>
          <w:p w:rsidR="000A2A9D" w:rsidRPr="00BD6A40" w:rsidRDefault="0097667F" w:rsidP="000A2A9D">
            <w:pPr>
              <w:spacing w:after="75" w:line="240" w:lineRule="atLeast"/>
              <w:rPr>
                <w:rFonts w:ascii="Times New Roman" w:eastAsia="Times New Roman" w:hAnsi="Times New Roman" w:cs="Times New Roman"/>
                <w:color w:val="333333"/>
                <w:sz w:val="20"/>
                <w:szCs w:val="20"/>
              </w:rPr>
            </w:pPr>
            <w:hyperlink r:id="rId13" w:tgtFrame="_blank" w:history="1">
              <w:r w:rsidR="000A2A9D" w:rsidRPr="00BD6A40">
                <w:rPr>
                  <w:rFonts w:ascii="Times New Roman" w:eastAsia="Times New Roman" w:hAnsi="Times New Roman" w:cs="Times New Roman"/>
                  <w:color w:val="3A45BF"/>
                  <w:sz w:val="20"/>
                  <w:szCs w:val="20"/>
                  <w:u w:val="single"/>
                </w:rPr>
                <w:t>899 7</w:t>
              </w:r>
            </w:hyperlink>
          </w:p>
        </w:tc>
        <w:tc>
          <w:tcPr>
            <w:tcW w:w="0" w:type="auto"/>
            <w:tcBorders>
              <w:top w:val="single" w:sz="12" w:space="0" w:color="FFFFFF"/>
              <w:left w:val="single" w:sz="12" w:space="0" w:color="FFFFFF"/>
              <w:bottom w:val="single" w:sz="12" w:space="0" w:color="FFFFFF"/>
              <w:right w:val="single" w:sz="12" w:space="0" w:color="FFFFFF"/>
            </w:tcBorders>
            <w:shd w:val="clear" w:color="auto" w:fill="E7EBF7"/>
            <w:tcMar>
              <w:top w:w="75" w:type="dxa"/>
              <w:left w:w="150" w:type="dxa"/>
              <w:bottom w:w="75" w:type="dxa"/>
              <w:right w:w="75" w:type="dxa"/>
            </w:tcMar>
            <w:hideMark/>
          </w:tcPr>
          <w:p w:rsidR="000A2A9D" w:rsidRPr="00BD6A40" w:rsidRDefault="000A2A9D" w:rsidP="000A2A9D">
            <w:pPr>
              <w:spacing w:after="75" w:line="240" w:lineRule="atLeast"/>
              <w:rPr>
                <w:rFonts w:ascii="Times New Roman" w:eastAsia="Times New Roman" w:hAnsi="Times New Roman" w:cs="Times New Roman"/>
                <w:color w:val="333333"/>
                <w:sz w:val="20"/>
                <w:szCs w:val="20"/>
              </w:rPr>
            </w:pPr>
            <w:r w:rsidRPr="00BD6A40">
              <w:rPr>
                <w:rFonts w:ascii="Times New Roman" w:eastAsia="Times New Roman" w:hAnsi="Times New Roman" w:cs="Times New Roman"/>
                <w:color w:val="333333"/>
                <w:sz w:val="20"/>
                <w:szCs w:val="20"/>
              </w:rPr>
              <w:t>Geographic Information Systems (GIS) Services NAICS 541620</w:t>
            </w:r>
          </w:p>
        </w:tc>
      </w:tr>
      <w:tr w:rsidR="000A2A9D" w:rsidRPr="00BD6A40" w:rsidTr="00E112E8">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F4F7FB"/>
            <w:tcMar>
              <w:top w:w="75" w:type="dxa"/>
              <w:left w:w="150" w:type="dxa"/>
              <w:bottom w:w="75" w:type="dxa"/>
              <w:right w:w="75" w:type="dxa"/>
            </w:tcMar>
            <w:hideMark/>
          </w:tcPr>
          <w:p w:rsidR="000A2A9D" w:rsidRPr="00BD6A40" w:rsidRDefault="0097667F" w:rsidP="000A2A9D">
            <w:pPr>
              <w:spacing w:after="75" w:line="240" w:lineRule="atLeast"/>
              <w:rPr>
                <w:rFonts w:ascii="Times New Roman" w:eastAsia="Times New Roman" w:hAnsi="Times New Roman" w:cs="Times New Roman"/>
                <w:color w:val="333333"/>
                <w:sz w:val="20"/>
                <w:szCs w:val="20"/>
              </w:rPr>
            </w:pPr>
            <w:hyperlink r:id="rId14" w:tgtFrame="_blank" w:history="1">
              <w:r w:rsidR="000A2A9D" w:rsidRPr="00BD6A40">
                <w:rPr>
                  <w:rFonts w:ascii="Times New Roman" w:eastAsia="Times New Roman" w:hAnsi="Times New Roman" w:cs="Times New Roman"/>
                  <w:color w:val="3A45BF"/>
                  <w:sz w:val="20"/>
                  <w:szCs w:val="20"/>
                  <w:u w:val="single"/>
                </w:rPr>
                <w:t>899 8</w:t>
              </w:r>
            </w:hyperlink>
          </w:p>
        </w:tc>
        <w:tc>
          <w:tcPr>
            <w:tcW w:w="0" w:type="auto"/>
            <w:tcBorders>
              <w:top w:val="single" w:sz="12" w:space="0" w:color="FFFFFF"/>
              <w:left w:val="single" w:sz="12" w:space="0" w:color="FFFFFF"/>
              <w:bottom w:val="single" w:sz="12" w:space="0" w:color="FFFFFF"/>
              <w:right w:val="single" w:sz="12" w:space="0" w:color="FFFFFF"/>
            </w:tcBorders>
            <w:shd w:val="clear" w:color="auto" w:fill="F4F7FB"/>
            <w:tcMar>
              <w:top w:w="75" w:type="dxa"/>
              <w:left w:w="150" w:type="dxa"/>
              <w:bottom w:w="75" w:type="dxa"/>
              <w:right w:w="75" w:type="dxa"/>
            </w:tcMar>
            <w:hideMark/>
          </w:tcPr>
          <w:p w:rsidR="000A2A9D" w:rsidRPr="00BD6A40" w:rsidRDefault="000A2A9D" w:rsidP="000A2A9D">
            <w:pPr>
              <w:spacing w:after="75" w:line="240" w:lineRule="atLeast"/>
              <w:rPr>
                <w:rFonts w:ascii="Times New Roman" w:eastAsia="Times New Roman" w:hAnsi="Times New Roman" w:cs="Times New Roman"/>
                <w:color w:val="333333"/>
                <w:sz w:val="20"/>
                <w:szCs w:val="20"/>
              </w:rPr>
            </w:pPr>
            <w:r w:rsidRPr="00BD6A40">
              <w:rPr>
                <w:rFonts w:ascii="Times New Roman" w:eastAsia="Times New Roman" w:hAnsi="Times New Roman" w:cs="Times New Roman"/>
                <w:color w:val="333333"/>
                <w:sz w:val="20"/>
                <w:szCs w:val="20"/>
              </w:rPr>
              <w:t>Remediation and Reclamation Services NAICS 562910, 541380</w:t>
            </w:r>
          </w:p>
        </w:tc>
      </w:tr>
      <w:tr w:rsidR="000A2A9D" w:rsidRPr="00BD6A40" w:rsidTr="00E112E8">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E7EBF7"/>
            <w:tcMar>
              <w:top w:w="75" w:type="dxa"/>
              <w:left w:w="150" w:type="dxa"/>
              <w:bottom w:w="75" w:type="dxa"/>
              <w:right w:w="75" w:type="dxa"/>
            </w:tcMar>
            <w:hideMark/>
          </w:tcPr>
          <w:p w:rsidR="000A2A9D" w:rsidRPr="00BD6A40" w:rsidRDefault="0097667F" w:rsidP="000A2A9D">
            <w:pPr>
              <w:spacing w:after="75" w:line="240" w:lineRule="atLeast"/>
              <w:rPr>
                <w:rFonts w:ascii="Times New Roman" w:eastAsia="Times New Roman" w:hAnsi="Times New Roman" w:cs="Times New Roman"/>
                <w:color w:val="333333"/>
                <w:sz w:val="20"/>
                <w:szCs w:val="20"/>
              </w:rPr>
            </w:pPr>
            <w:hyperlink r:id="rId15" w:tgtFrame="_blank" w:history="1">
              <w:r w:rsidR="000A2A9D" w:rsidRPr="00BD6A40">
                <w:rPr>
                  <w:rFonts w:ascii="Times New Roman" w:eastAsia="Times New Roman" w:hAnsi="Times New Roman" w:cs="Times New Roman"/>
                  <w:color w:val="3A45BF"/>
                  <w:sz w:val="20"/>
                  <w:szCs w:val="20"/>
                  <w:u w:val="single"/>
                </w:rPr>
                <w:t>899 10</w:t>
              </w:r>
            </w:hyperlink>
          </w:p>
        </w:tc>
        <w:tc>
          <w:tcPr>
            <w:tcW w:w="0" w:type="auto"/>
            <w:tcBorders>
              <w:top w:val="single" w:sz="12" w:space="0" w:color="FFFFFF"/>
              <w:left w:val="single" w:sz="12" w:space="0" w:color="FFFFFF"/>
              <w:bottom w:val="single" w:sz="12" w:space="0" w:color="FFFFFF"/>
              <w:right w:val="single" w:sz="12" w:space="0" w:color="FFFFFF"/>
            </w:tcBorders>
            <w:shd w:val="clear" w:color="auto" w:fill="E7EBF7"/>
            <w:tcMar>
              <w:top w:w="75" w:type="dxa"/>
              <w:left w:w="150" w:type="dxa"/>
              <w:bottom w:w="75" w:type="dxa"/>
              <w:right w:w="75" w:type="dxa"/>
            </w:tcMar>
            <w:hideMark/>
          </w:tcPr>
          <w:p w:rsidR="000A2A9D" w:rsidRPr="00BD6A40" w:rsidRDefault="000A2A9D" w:rsidP="000A2A9D">
            <w:pPr>
              <w:spacing w:after="75" w:line="240" w:lineRule="atLeast"/>
              <w:rPr>
                <w:rFonts w:ascii="Times New Roman" w:eastAsia="Times New Roman" w:hAnsi="Times New Roman" w:cs="Times New Roman"/>
                <w:color w:val="333333"/>
                <w:sz w:val="20"/>
                <w:szCs w:val="20"/>
              </w:rPr>
            </w:pPr>
            <w:r w:rsidRPr="00BD6A40">
              <w:rPr>
                <w:rFonts w:ascii="Times New Roman" w:eastAsia="Times New Roman" w:hAnsi="Times New Roman" w:cs="Times New Roman"/>
                <w:color w:val="333333"/>
                <w:sz w:val="20"/>
                <w:szCs w:val="20"/>
              </w:rPr>
              <w:t>Ancillary Supplies and/or Services</w:t>
            </w:r>
          </w:p>
        </w:tc>
      </w:tr>
      <w:tr w:rsidR="000A2A9D" w:rsidRPr="00BD6A40" w:rsidTr="00E112E8">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F4F7FB"/>
            <w:tcMar>
              <w:top w:w="75" w:type="dxa"/>
              <w:left w:w="150" w:type="dxa"/>
              <w:bottom w:w="75" w:type="dxa"/>
              <w:right w:w="75" w:type="dxa"/>
            </w:tcMar>
            <w:hideMark/>
          </w:tcPr>
          <w:p w:rsidR="000A2A9D" w:rsidRPr="00BD6A40" w:rsidRDefault="0097667F" w:rsidP="000A2A9D">
            <w:pPr>
              <w:spacing w:after="75" w:line="240" w:lineRule="atLeast"/>
              <w:rPr>
                <w:rFonts w:ascii="Times New Roman" w:eastAsia="Times New Roman" w:hAnsi="Times New Roman" w:cs="Times New Roman"/>
                <w:color w:val="333333"/>
                <w:sz w:val="20"/>
                <w:szCs w:val="20"/>
              </w:rPr>
            </w:pPr>
            <w:hyperlink r:id="rId16" w:tgtFrame="_blank" w:history="1">
              <w:r w:rsidR="000A2A9D" w:rsidRPr="00BD6A40">
                <w:rPr>
                  <w:rFonts w:ascii="Times New Roman" w:eastAsia="Times New Roman" w:hAnsi="Times New Roman" w:cs="Times New Roman"/>
                  <w:color w:val="3A45BF"/>
                  <w:sz w:val="20"/>
                  <w:szCs w:val="20"/>
                  <w:u w:val="single"/>
                </w:rPr>
                <w:t>899 99</w:t>
              </w:r>
            </w:hyperlink>
          </w:p>
        </w:tc>
        <w:tc>
          <w:tcPr>
            <w:tcW w:w="0" w:type="auto"/>
            <w:tcBorders>
              <w:top w:val="single" w:sz="12" w:space="0" w:color="FFFFFF"/>
              <w:left w:val="single" w:sz="12" w:space="0" w:color="FFFFFF"/>
              <w:bottom w:val="single" w:sz="12" w:space="0" w:color="FFFFFF"/>
              <w:right w:val="single" w:sz="12" w:space="0" w:color="FFFFFF"/>
            </w:tcBorders>
            <w:shd w:val="clear" w:color="auto" w:fill="F4F7FB"/>
            <w:tcMar>
              <w:top w:w="75" w:type="dxa"/>
              <w:left w:w="150" w:type="dxa"/>
              <w:bottom w:w="75" w:type="dxa"/>
              <w:right w:w="75" w:type="dxa"/>
            </w:tcMar>
            <w:hideMark/>
          </w:tcPr>
          <w:p w:rsidR="000A2A9D" w:rsidRPr="00BD6A40" w:rsidRDefault="000A2A9D" w:rsidP="000A2A9D">
            <w:pPr>
              <w:spacing w:after="75" w:line="240" w:lineRule="atLeast"/>
              <w:rPr>
                <w:rFonts w:ascii="Times New Roman" w:eastAsia="Times New Roman" w:hAnsi="Times New Roman" w:cs="Times New Roman"/>
                <w:color w:val="333333"/>
                <w:sz w:val="20"/>
                <w:szCs w:val="20"/>
              </w:rPr>
            </w:pPr>
            <w:r w:rsidRPr="00BD6A40">
              <w:rPr>
                <w:rFonts w:ascii="Times New Roman" w:eastAsia="Times New Roman" w:hAnsi="Times New Roman" w:cs="Times New Roman"/>
                <w:color w:val="333333"/>
                <w:sz w:val="20"/>
                <w:szCs w:val="20"/>
              </w:rPr>
              <w:t>New Technology</w:t>
            </w:r>
          </w:p>
        </w:tc>
      </w:tr>
    </w:tbl>
    <w:tbl>
      <w:tblPr>
        <w:tblpPr w:leftFromText="180" w:rightFromText="180" w:vertAnchor="text" w:horzAnchor="margin" w:tblpY="-1075"/>
        <w:tblOverlap w:val="never"/>
        <w:tblW w:w="5000" w:type="pct"/>
        <w:tblCellSpacing w:w="12" w:type="dxa"/>
        <w:tblCellMar>
          <w:top w:w="48" w:type="dxa"/>
          <w:left w:w="48" w:type="dxa"/>
          <w:bottom w:w="48" w:type="dxa"/>
          <w:right w:w="48" w:type="dxa"/>
        </w:tblCellMar>
        <w:tblLook w:val="04A0" w:firstRow="1" w:lastRow="0" w:firstColumn="1" w:lastColumn="0" w:noHBand="0" w:noVBand="1"/>
      </w:tblPr>
      <w:tblGrid>
        <w:gridCol w:w="1090"/>
        <w:gridCol w:w="8414"/>
      </w:tblGrid>
      <w:tr w:rsidR="007A195B" w:rsidRPr="00BD6A40" w:rsidTr="007A195B">
        <w:trPr>
          <w:trHeight w:val="239"/>
          <w:tblCellSpacing w:w="12" w:type="dxa"/>
        </w:trPr>
        <w:tc>
          <w:tcPr>
            <w:tcW w:w="555" w:type="pct"/>
            <w:vMerge w:val="restart"/>
            <w:noWrap/>
          </w:tcPr>
          <w:p w:rsidR="007A195B" w:rsidRPr="00BD6A40" w:rsidRDefault="007A195B" w:rsidP="007A195B">
            <w:pPr>
              <w:spacing w:after="0" w:line="240" w:lineRule="auto"/>
              <w:rPr>
                <w:rFonts w:ascii="Times New Roman" w:eastAsia="Times New Roman" w:hAnsi="Times New Roman" w:cs="Times New Roman"/>
                <w:sz w:val="20"/>
                <w:szCs w:val="20"/>
              </w:rPr>
            </w:pPr>
          </w:p>
        </w:tc>
        <w:tc>
          <w:tcPr>
            <w:tcW w:w="4408" w:type="pct"/>
          </w:tcPr>
          <w:p w:rsidR="007A195B" w:rsidRPr="00BD6A40" w:rsidRDefault="007A195B" w:rsidP="007A195B">
            <w:pPr>
              <w:spacing w:after="0" w:line="240" w:lineRule="auto"/>
              <w:rPr>
                <w:rFonts w:ascii="Times New Roman" w:eastAsia="Times New Roman" w:hAnsi="Times New Roman" w:cs="Times New Roman"/>
                <w:sz w:val="20"/>
                <w:szCs w:val="20"/>
              </w:rPr>
            </w:pPr>
          </w:p>
        </w:tc>
      </w:tr>
      <w:tr w:rsidR="007A195B" w:rsidRPr="00BD6A40" w:rsidTr="007A195B">
        <w:trPr>
          <w:trHeight w:val="239"/>
          <w:tblCellSpacing w:w="12" w:type="dxa"/>
        </w:trPr>
        <w:tc>
          <w:tcPr>
            <w:tcW w:w="555" w:type="pct"/>
            <w:vMerge/>
            <w:vAlign w:val="center"/>
          </w:tcPr>
          <w:p w:rsidR="007A195B" w:rsidRPr="00BD6A40" w:rsidRDefault="007A195B" w:rsidP="007A195B">
            <w:pPr>
              <w:spacing w:after="0" w:line="240" w:lineRule="auto"/>
              <w:rPr>
                <w:rFonts w:ascii="Times New Roman" w:eastAsia="Times New Roman" w:hAnsi="Times New Roman" w:cs="Times New Roman"/>
                <w:sz w:val="20"/>
                <w:szCs w:val="20"/>
              </w:rPr>
            </w:pPr>
          </w:p>
        </w:tc>
        <w:tc>
          <w:tcPr>
            <w:tcW w:w="4408" w:type="pct"/>
          </w:tcPr>
          <w:p w:rsidR="007A195B" w:rsidRPr="00BD6A40" w:rsidRDefault="007A195B" w:rsidP="007A195B">
            <w:pPr>
              <w:spacing w:after="0" w:line="240" w:lineRule="auto"/>
              <w:rPr>
                <w:rFonts w:ascii="Times New Roman" w:eastAsia="Times New Roman" w:hAnsi="Times New Roman" w:cs="Times New Roman"/>
                <w:sz w:val="20"/>
                <w:szCs w:val="20"/>
              </w:rPr>
            </w:pPr>
          </w:p>
        </w:tc>
      </w:tr>
      <w:tr w:rsidR="007A195B" w:rsidRPr="00BD6A40" w:rsidTr="007A195B">
        <w:trPr>
          <w:trHeight w:val="239"/>
          <w:tblCellSpacing w:w="12" w:type="dxa"/>
        </w:trPr>
        <w:tc>
          <w:tcPr>
            <w:tcW w:w="555" w:type="pct"/>
            <w:shd w:val="clear" w:color="auto" w:fill="CCCCCC"/>
          </w:tcPr>
          <w:p w:rsidR="007A195B" w:rsidRPr="00BD6A40" w:rsidRDefault="007A195B" w:rsidP="007A195B">
            <w:pPr>
              <w:spacing w:after="0" w:line="240" w:lineRule="auto"/>
              <w:rPr>
                <w:rFonts w:ascii="Times New Roman" w:eastAsia="Times New Roman" w:hAnsi="Times New Roman" w:cs="Times New Roman"/>
                <w:sz w:val="20"/>
                <w:szCs w:val="20"/>
              </w:rPr>
            </w:pPr>
          </w:p>
        </w:tc>
        <w:tc>
          <w:tcPr>
            <w:tcW w:w="4408" w:type="pct"/>
            <w:shd w:val="clear" w:color="auto" w:fill="CCCCCC"/>
          </w:tcPr>
          <w:p w:rsidR="007A195B" w:rsidRPr="00BD6A40" w:rsidRDefault="007A195B" w:rsidP="007A195B">
            <w:pPr>
              <w:spacing w:after="0" w:line="240" w:lineRule="auto"/>
              <w:rPr>
                <w:rFonts w:ascii="Times New Roman" w:eastAsia="Times New Roman" w:hAnsi="Times New Roman" w:cs="Times New Roman"/>
                <w:sz w:val="20"/>
                <w:szCs w:val="20"/>
              </w:rPr>
            </w:pPr>
          </w:p>
        </w:tc>
      </w:tr>
      <w:tr w:rsidR="00BB0CCB" w:rsidRPr="00BB0CCB" w:rsidTr="007A195B">
        <w:trPr>
          <w:trHeight w:val="239"/>
          <w:tblCellSpacing w:w="12" w:type="dxa"/>
        </w:trPr>
        <w:tc>
          <w:tcPr>
            <w:tcW w:w="555" w:type="pct"/>
            <w:noWrap/>
            <w:hideMark/>
          </w:tcPr>
          <w:p w:rsidR="007A195B" w:rsidRPr="00A134BA" w:rsidRDefault="0097667F" w:rsidP="007A195B">
            <w:pPr>
              <w:spacing w:after="0" w:line="240" w:lineRule="auto"/>
              <w:rPr>
                <w:rFonts w:ascii="Times New Roman" w:eastAsia="Times New Roman" w:hAnsi="Times New Roman" w:cs="Times New Roman"/>
                <w:color w:val="0070C0"/>
                <w:sz w:val="24"/>
                <w:szCs w:val="24"/>
              </w:rPr>
            </w:pPr>
            <w:hyperlink r:id="rId17" w:history="1">
              <w:r w:rsidR="009476CA">
                <w:rPr>
                  <w:rFonts w:ascii="Times New Roman" w:eastAsia="Times New Roman" w:hAnsi="Times New Roman" w:cs="Times New Roman"/>
                  <w:color w:val="0070C0"/>
                  <w:sz w:val="24"/>
                  <w:szCs w:val="24"/>
                </w:rPr>
                <w:t>899-</w:t>
              </w:r>
              <w:r w:rsidR="007A195B" w:rsidRPr="00A134BA">
                <w:rPr>
                  <w:rFonts w:ascii="Times New Roman" w:eastAsia="Times New Roman" w:hAnsi="Times New Roman" w:cs="Times New Roman"/>
                  <w:color w:val="0070C0"/>
                  <w:sz w:val="24"/>
                  <w:szCs w:val="24"/>
                </w:rPr>
                <w:t>1</w:t>
              </w:r>
            </w:hyperlink>
          </w:p>
        </w:tc>
        <w:tc>
          <w:tcPr>
            <w:tcW w:w="4408" w:type="pct"/>
            <w:hideMark/>
          </w:tcPr>
          <w:p w:rsidR="007A195B" w:rsidRPr="00BB0CCB" w:rsidRDefault="007A195B" w:rsidP="007A195B">
            <w:pPr>
              <w:spacing w:after="0" w:line="240" w:lineRule="auto"/>
              <w:rPr>
                <w:rFonts w:ascii="Times New Roman" w:eastAsia="Times New Roman" w:hAnsi="Times New Roman" w:cs="Times New Roman"/>
                <w:color w:val="0070C0"/>
                <w:sz w:val="20"/>
                <w:szCs w:val="20"/>
              </w:rPr>
            </w:pPr>
            <w:r w:rsidRPr="00A134BA">
              <w:rPr>
                <w:rFonts w:ascii="Times New Roman" w:eastAsia="Times New Roman" w:hAnsi="Times New Roman" w:cs="Times New Roman"/>
                <w:color w:val="0070C0"/>
                <w:sz w:val="24"/>
                <w:szCs w:val="24"/>
              </w:rPr>
              <w:t xml:space="preserve">Environmental Consulting Services </w:t>
            </w:r>
            <w:r w:rsidRPr="00BB0CCB">
              <w:rPr>
                <w:rFonts w:ascii="Times New Roman" w:eastAsia="Times New Roman" w:hAnsi="Times New Roman" w:cs="Times New Roman"/>
                <w:color w:val="0070C0"/>
                <w:sz w:val="20"/>
                <w:szCs w:val="20"/>
              </w:rPr>
              <w:t xml:space="preserve">- </w:t>
            </w:r>
            <w:r w:rsidRPr="00A91561">
              <w:rPr>
                <w:rFonts w:ascii="Times New Roman" w:eastAsia="Times New Roman" w:hAnsi="Times New Roman" w:cs="Times New Roman"/>
                <w:sz w:val="20"/>
                <w:szCs w:val="20"/>
              </w:rPr>
              <w:t xml:space="preserve">The services include, but are not limited to: Planning and Documentation Services for the development, planning, facilitation, coordination, and documentation of and/or for environmental initiatives (or mandates such as Executive Order 13423) in areas of chemical, radiological, and/or hazardous materials; ISO 14001 Environmental Management System (EMS) and sustainable performance measure development; Environmental Assessment (EA) and Environmental Impact Statement (EIS) preparation under the National Environmental Policy Act (NEPA); Endangered species, wetland, watershed, and other natural resource management plans; Archeological and/or cultural resource management plans; Environmental program and project management; Environmental regulation development; Economic, technical and/or risk analysis; other environmentally related studies and/or consultations; Homeland Security solutions that include Biochemical protection; Crime prevention through environmental design surveys (CPTED); Economical, technical and/or risk analysis; Identification and mitigation of threats inclusive of protective measures to mitigate the threats; and Vulnerability assessments. Compliance Services such as review, audit, and implementation/management of EMS and other compliance and contingency plans and performance measures; Permitting; Spill prevention/control and countermeasure plans; Pollution prevention surveys; and Community Right to-Know Act reporting. Advisory Services for ongoing advice and assistance with data and information in support of agency environmental programs involving areas such as Hazardous material spills; Material safety data sheets (MSDS), Biological/medical data sheets; Information hotlines; Poison control hotlines; Environmental regulations and environmental policy/procedure updates; Management, furnishing, or inventory of MSDS. Waste Management Consulting Services to provide guidance in support of waste-related data collection, feasibility studies and risk analyses; Resource Conservation and Recovery Act/Comprehensive Environmental Response Compensation and Liability Act (RCRA/CERCLA) site investigations; Hazardous and/or non-hazardous exposure assessments; Waste characterization and source reduction studies; Review and recommendation of waste tracking or handling systems; Waste management plans and/or surveys; Waste minimization/pollution prevention initiatives; and Review of technologies and processes impacting waste management. </w:t>
            </w:r>
            <w:r w:rsidRPr="00A91561">
              <w:rPr>
                <w:rFonts w:ascii="Times New Roman" w:eastAsia="Times New Roman" w:hAnsi="Times New Roman" w:cs="Times New Roman"/>
                <w:sz w:val="20"/>
                <w:szCs w:val="20"/>
              </w:rPr>
              <w:br/>
              <w:t>Note: Services involving only the consulting portion of environmental remediation efforts are included under this SIN. Any actual remediation efforts are performed under SIN 899-8.</w:t>
            </w:r>
          </w:p>
        </w:tc>
      </w:tr>
      <w:tr w:rsidR="0013314A" w:rsidRPr="0013314A" w:rsidTr="007A195B">
        <w:trPr>
          <w:trHeight w:val="239"/>
          <w:tblCellSpacing w:w="12" w:type="dxa"/>
        </w:trPr>
        <w:tc>
          <w:tcPr>
            <w:tcW w:w="555" w:type="pct"/>
            <w:noWrap/>
            <w:hideMark/>
          </w:tcPr>
          <w:p w:rsidR="007A195B" w:rsidRPr="00A134BA" w:rsidRDefault="0097667F" w:rsidP="007A195B">
            <w:pPr>
              <w:spacing w:after="0" w:line="240" w:lineRule="auto"/>
              <w:rPr>
                <w:rFonts w:ascii="Times New Roman" w:eastAsia="Times New Roman" w:hAnsi="Times New Roman" w:cs="Times New Roman"/>
                <w:sz w:val="24"/>
                <w:szCs w:val="24"/>
              </w:rPr>
            </w:pPr>
            <w:hyperlink r:id="rId18" w:history="1">
              <w:r w:rsidR="009476CA">
                <w:rPr>
                  <w:rFonts w:ascii="Times New Roman" w:eastAsia="Times New Roman" w:hAnsi="Times New Roman" w:cs="Times New Roman"/>
                  <w:color w:val="0070C0"/>
                  <w:sz w:val="24"/>
                  <w:szCs w:val="24"/>
                </w:rPr>
                <w:t>899-</w:t>
              </w:r>
              <w:r w:rsidR="007A195B" w:rsidRPr="00A134BA">
                <w:rPr>
                  <w:rFonts w:ascii="Times New Roman" w:eastAsia="Times New Roman" w:hAnsi="Times New Roman" w:cs="Times New Roman"/>
                  <w:color w:val="0070C0"/>
                  <w:sz w:val="24"/>
                  <w:szCs w:val="24"/>
                </w:rPr>
                <w:t>3</w:t>
              </w:r>
            </w:hyperlink>
          </w:p>
        </w:tc>
        <w:tc>
          <w:tcPr>
            <w:tcW w:w="4408" w:type="pct"/>
            <w:hideMark/>
          </w:tcPr>
          <w:p w:rsidR="007A195B" w:rsidRPr="0013314A" w:rsidRDefault="007A195B" w:rsidP="007A195B">
            <w:pPr>
              <w:spacing w:after="0" w:line="240" w:lineRule="auto"/>
              <w:rPr>
                <w:rFonts w:ascii="Times New Roman" w:eastAsia="Times New Roman" w:hAnsi="Times New Roman" w:cs="Times New Roman"/>
                <w:sz w:val="20"/>
                <w:szCs w:val="20"/>
              </w:rPr>
            </w:pPr>
            <w:r w:rsidRPr="00A134BA">
              <w:rPr>
                <w:rFonts w:ascii="Times New Roman" w:eastAsia="Times New Roman" w:hAnsi="Times New Roman" w:cs="Times New Roman"/>
                <w:color w:val="0070C0"/>
                <w:sz w:val="24"/>
                <w:szCs w:val="24"/>
              </w:rPr>
              <w:t>Environmental Training Services</w:t>
            </w:r>
            <w:r w:rsidRPr="0013314A">
              <w:rPr>
                <w:rFonts w:ascii="Times New Roman" w:eastAsia="Times New Roman" w:hAnsi="Times New Roman" w:cs="Times New Roman"/>
                <w:color w:val="0070C0"/>
                <w:sz w:val="20"/>
                <w:szCs w:val="20"/>
              </w:rPr>
              <w:t xml:space="preserve"> </w:t>
            </w:r>
            <w:r w:rsidRPr="0013314A">
              <w:rPr>
                <w:rFonts w:ascii="Times New Roman" w:eastAsia="Times New Roman" w:hAnsi="Times New Roman" w:cs="Times New Roman"/>
                <w:sz w:val="20"/>
                <w:szCs w:val="20"/>
              </w:rPr>
              <w:t xml:space="preserve">- This SIN is designed to aid agencies in training personnel in a variety of environmentally related subjects in order to meet Federal mandates and Executive Orders. Environmentally related training can be conducted on- or off-site using standard off-the-shelf, customized, or computer/web-based interactive courses. Examples of environmental training courses include: Air/blood borne pathogens; Asbestos awareness; Environmental management planning and operations and maintenance (O&amp;M) planning; Asbestos Hazard Emergency Response Act (AHERA); Compliance with environmental laws/regulations; Comprehensive Environmental Response Compensation and Liability Act (CERCLA); Confined space training; Electronics management; Emergency response plans; Environmental audits, awareness, compliance, and management; Fire preparedness training; First responder; Hazardous materials and waste (HAZMAT) training to include compliance, operation, packaging, handling, generators, and incident response; Hazardous waste operations and emergency response (HAZWOPER) training inclusive of transportation, storage and disposal; ISO 14001 Environmental Management Systems (EMS); Lead training to include awareness, inspecting, assessing, rehabilitation, and renovation; Mold (abatement, assessment); National Environmental Policy Act (NEPA); Natural habitat preservation; Occupational Safety and Health Administration (OSHA); Pollution prevention; Public fire safety education; Resource Conservation and Recovery Act (RCRA); Sustainable environmental practices; Water conservation; and </w:t>
            </w:r>
            <w:r w:rsidRPr="0013314A">
              <w:rPr>
                <w:rFonts w:ascii="Times New Roman" w:eastAsia="Times New Roman" w:hAnsi="Times New Roman" w:cs="Times New Roman"/>
                <w:sz w:val="20"/>
                <w:szCs w:val="20"/>
              </w:rPr>
              <w:br/>
              <w:t xml:space="preserve">Wetlands regulation and permitting. </w:t>
            </w:r>
          </w:p>
        </w:tc>
      </w:tr>
      <w:tr w:rsidR="0013314A" w:rsidRPr="0013314A" w:rsidTr="007A195B">
        <w:trPr>
          <w:trHeight w:val="239"/>
          <w:tblCellSpacing w:w="12" w:type="dxa"/>
        </w:trPr>
        <w:tc>
          <w:tcPr>
            <w:tcW w:w="555" w:type="pct"/>
            <w:noWrap/>
            <w:hideMark/>
          </w:tcPr>
          <w:p w:rsidR="007A195B" w:rsidRPr="00A134BA" w:rsidRDefault="0097667F" w:rsidP="007A195B">
            <w:pPr>
              <w:spacing w:after="0" w:line="240" w:lineRule="auto"/>
              <w:rPr>
                <w:rFonts w:ascii="Times New Roman" w:eastAsia="Times New Roman" w:hAnsi="Times New Roman" w:cs="Times New Roman"/>
                <w:sz w:val="24"/>
                <w:szCs w:val="24"/>
              </w:rPr>
            </w:pPr>
            <w:hyperlink r:id="rId19" w:history="1">
              <w:r w:rsidR="009476CA">
                <w:rPr>
                  <w:rFonts w:ascii="Times New Roman" w:eastAsia="Times New Roman" w:hAnsi="Times New Roman" w:cs="Times New Roman"/>
                  <w:color w:val="0070C0"/>
                  <w:sz w:val="24"/>
                  <w:szCs w:val="24"/>
                </w:rPr>
                <w:t>899-</w:t>
              </w:r>
              <w:r w:rsidR="007A195B" w:rsidRPr="00A134BA">
                <w:rPr>
                  <w:rFonts w:ascii="Times New Roman" w:eastAsia="Times New Roman" w:hAnsi="Times New Roman" w:cs="Times New Roman"/>
                  <w:color w:val="0070C0"/>
                  <w:sz w:val="24"/>
                  <w:szCs w:val="24"/>
                </w:rPr>
                <w:t>5</w:t>
              </w:r>
            </w:hyperlink>
          </w:p>
        </w:tc>
        <w:tc>
          <w:tcPr>
            <w:tcW w:w="4408" w:type="pct"/>
            <w:hideMark/>
          </w:tcPr>
          <w:p w:rsidR="007A195B" w:rsidRPr="0013314A" w:rsidRDefault="007A195B" w:rsidP="007A195B">
            <w:pPr>
              <w:spacing w:after="0" w:line="240" w:lineRule="auto"/>
              <w:rPr>
                <w:rFonts w:ascii="Times New Roman" w:eastAsia="Times New Roman" w:hAnsi="Times New Roman" w:cs="Times New Roman"/>
                <w:sz w:val="20"/>
                <w:szCs w:val="20"/>
              </w:rPr>
            </w:pPr>
            <w:r w:rsidRPr="00A134BA">
              <w:rPr>
                <w:rFonts w:ascii="Times New Roman" w:eastAsia="Times New Roman" w:hAnsi="Times New Roman" w:cs="Times New Roman"/>
                <w:color w:val="0070C0"/>
                <w:sz w:val="24"/>
                <w:szCs w:val="24"/>
              </w:rPr>
              <w:t>Materials and Waste Recycling and Disposal Services</w:t>
            </w:r>
            <w:r w:rsidRPr="002E32D3">
              <w:rPr>
                <w:rFonts w:ascii="Times New Roman" w:eastAsia="Times New Roman" w:hAnsi="Times New Roman" w:cs="Times New Roman"/>
                <w:color w:val="0070C0"/>
                <w:sz w:val="20"/>
                <w:szCs w:val="20"/>
              </w:rPr>
              <w:t xml:space="preserve"> </w:t>
            </w:r>
            <w:r w:rsidRPr="0013314A">
              <w:rPr>
                <w:rFonts w:ascii="Times New Roman" w:eastAsia="Times New Roman" w:hAnsi="Times New Roman" w:cs="Times New Roman"/>
                <w:sz w:val="20"/>
                <w:szCs w:val="20"/>
              </w:rPr>
              <w:t xml:space="preserve">- Services include, but are not limited to: Management and oversight of Hazardous Material (HAZMAT) disposal operations, and management, oversight and recycling of universal waste (e.g., electronic equipment, batteries, cell phones, cathode ray tubes (CRTs), and compact fluorescent light bulbs (CFLs)). This includes reuse assessments and inventory, destruction, inventory transfer and/or disposal after compliance with GSA Office of Personal Property Management requirements outlined in Federal Management Regulations 101-42, 102-36, and 102-37 (as applicable). Examples of types of material waste services include, but </w:t>
            </w:r>
            <w:r w:rsidRPr="0013314A">
              <w:rPr>
                <w:rFonts w:ascii="Times New Roman" w:eastAsia="Times New Roman" w:hAnsi="Times New Roman" w:cs="Times New Roman"/>
                <w:sz w:val="20"/>
                <w:szCs w:val="20"/>
              </w:rPr>
              <w:lastRenderedPageBreak/>
              <w:t xml:space="preserve">are not limited to: Solid waste, industrial waste, mining waste, and oilfield waste (e.g., drill cuttings); Liquid waste (e.g., wastewater containing less than 1% solids); Excess inventory; Surplus inventory; Non-hazardous materials that pose no immediate threat to human health and the environment, excluding household waste (e.g., routine refuse collection and disposal); Hazardous materials and/or those that contain leachable toxic components; Plastics such as acrylic, nylon, high-density polyethylene (HDPE) and low-density polyethylene (LDPE); Confiscated materials; and Construction debris such as asphalt, drywall and/or metal. </w:t>
            </w:r>
            <w:r w:rsidRPr="0013314A">
              <w:rPr>
                <w:rFonts w:ascii="Times New Roman" w:eastAsia="Times New Roman" w:hAnsi="Times New Roman" w:cs="Times New Roman"/>
                <w:sz w:val="20"/>
                <w:szCs w:val="20"/>
              </w:rPr>
              <w:br/>
              <w:t>Note: Services offered under this SIN shall NOT include any association with construction services and/or the transportation and/or disposal of “Special Waste” such as radioactive and medical waste, and/or the disposal of discarded, unwanted material (e.g., office paper, newspaper, food waste, and beverage containers, cardboard and packing materials).</w:t>
            </w:r>
          </w:p>
        </w:tc>
      </w:tr>
      <w:tr w:rsidR="0013314A" w:rsidRPr="0013314A" w:rsidTr="007A195B">
        <w:trPr>
          <w:trHeight w:val="239"/>
          <w:tblCellSpacing w:w="12" w:type="dxa"/>
        </w:trPr>
        <w:tc>
          <w:tcPr>
            <w:tcW w:w="555" w:type="pct"/>
            <w:noWrap/>
            <w:hideMark/>
          </w:tcPr>
          <w:p w:rsidR="007A195B" w:rsidRPr="00A134BA" w:rsidRDefault="0097667F" w:rsidP="007A195B">
            <w:pPr>
              <w:spacing w:after="0" w:line="240" w:lineRule="auto"/>
              <w:rPr>
                <w:rFonts w:ascii="Times New Roman" w:eastAsia="Times New Roman" w:hAnsi="Times New Roman" w:cs="Times New Roman"/>
                <w:sz w:val="24"/>
                <w:szCs w:val="24"/>
              </w:rPr>
            </w:pPr>
            <w:hyperlink r:id="rId20" w:history="1">
              <w:r w:rsidR="009476CA">
                <w:rPr>
                  <w:rFonts w:ascii="Times New Roman" w:eastAsia="Times New Roman" w:hAnsi="Times New Roman" w:cs="Times New Roman"/>
                  <w:color w:val="0070C0"/>
                  <w:sz w:val="24"/>
                  <w:szCs w:val="24"/>
                </w:rPr>
                <w:t>899-</w:t>
              </w:r>
              <w:r w:rsidR="007A195B" w:rsidRPr="00A134BA">
                <w:rPr>
                  <w:rFonts w:ascii="Times New Roman" w:eastAsia="Times New Roman" w:hAnsi="Times New Roman" w:cs="Times New Roman"/>
                  <w:color w:val="0070C0"/>
                  <w:sz w:val="24"/>
                  <w:szCs w:val="24"/>
                </w:rPr>
                <w:t>7</w:t>
              </w:r>
            </w:hyperlink>
          </w:p>
        </w:tc>
        <w:tc>
          <w:tcPr>
            <w:tcW w:w="4408" w:type="pct"/>
            <w:hideMark/>
          </w:tcPr>
          <w:p w:rsidR="007A195B" w:rsidRPr="0013314A" w:rsidRDefault="007A195B" w:rsidP="007A195B">
            <w:pPr>
              <w:spacing w:after="0" w:line="240" w:lineRule="auto"/>
              <w:rPr>
                <w:rFonts w:ascii="Times New Roman" w:eastAsia="Times New Roman" w:hAnsi="Times New Roman" w:cs="Times New Roman"/>
                <w:sz w:val="20"/>
                <w:szCs w:val="20"/>
              </w:rPr>
            </w:pPr>
            <w:r w:rsidRPr="00A134BA">
              <w:rPr>
                <w:rFonts w:ascii="Times New Roman" w:eastAsia="Times New Roman" w:hAnsi="Times New Roman" w:cs="Times New Roman"/>
                <w:color w:val="0070C0"/>
                <w:sz w:val="24"/>
                <w:szCs w:val="24"/>
              </w:rPr>
              <w:t xml:space="preserve">Geographic Information Systems (GIS) Services </w:t>
            </w:r>
            <w:r w:rsidRPr="0013314A">
              <w:rPr>
                <w:rFonts w:ascii="Times New Roman" w:eastAsia="Times New Roman" w:hAnsi="Times New Roman" w:cs="Times New Roman"/>
                <w:sz w:val="20"/>
                <w:szCs w:val="20"/>
              </w:rPr>
              <w:t xml:space="preserve">- Provides GIS services in support of environmental programs. Services include, but are not limited to: Creation/enforcement of environmental legislation; Cultural resource GIS (CRGIS); Environmental cost assessment; Environmental impact analyses; Environmental regulatory compliance; Groundwater monitoring; Growth forecast modeling; Habitat conservation plans; Habitat modeling; Image analysis support for emergency response; Mapping, Cartography and </w:t>
            </w:r>
            <w:proofErr w:type="spellStart"/>
            <w:r w:rsidRPr="0013314A">
              <w:rPr>
                <w:rFonts w:ascii="Times New Roman" w:eastAsia="Times New Roman" w:hAnsi="Times New Roman" w:cs="Times New Roman"/>
                <w:sz w:val="20"/>
                <w:szCs w:val="20"/>
              </w:rPr>
              <w:t>Mashups</w:t>
            </w:r>
            <w:proofErr w:type="spellEnd"/>
            <w:r w:rsidRPr="0013314A">
              <w:rPr>
                <w:rFonts w:ascii="Times New Roman" w:eastAsia="Times New Roman" w:hAnsi="Times New Roman" w:cs="Times New Roman"/>
                <w:sz w:val="20"/>
                <w:szCs w:val="20"/>
              </w:rPr>
              <w:t xml:space="preserve"> (e.g., combining data from more than one source into a single integrated tool); Migration pattern analysis; Natural resource planning; Remote sensing for environmental studies; Terrestrial, marine, and/or atmospheric measuring/management; Vegetation mapping; and Watershed characterization for mitigation planning. </w:t>
            </w:r>
            <w:r w:rsidRPr="0013314A">
              <w:rPr>
                <w:rFonts w:ascii="Times New Roman" w:eastAsia="Times New Roman" w:hAnsi="Times New Roman" w:cs="Times New Roman"/>
                <w:sz w:val="20"/>
                <w:szCs w:val="20"/>
              </w:rPr>
              <w:br/>
              <w:t>Note: The services offered under this SIN shall NOT include construction and architect-engineering services as set forth in FAR Part 36, including surveying and mapping services as defined under the Brooks Act of 1972 (Public Law 92-582, 40 U.S. 1102 et seq.).</w:t>
            </w:r>
          </w:p>
        </w:tc>
      </w:tr>
      <w:tr w:rsidR="0013314A" w:rsidRPr="0013314A" w:rsidTr="007A195B">
        <w:trPr>
          <w:trHeight w:val="239"/>
          <w:tblCellSpacing w:w="12" w:type="dxa"/>
        </w:trPr>
        <w:tc>
          <w:tcPr>
            <w:tcW w:w="555" w:type="pct"/>
            <w:noWrap/>
            <w:hideMark/>
          </w:tcPr>
          <w:p w:rsidR="007A195B" w:rsidRPr="00A134BA" w:rsidRDefault="0097667F" w:rsidP="007A195B">
            <w:pPr>
              <w:spacing w:after="0" w:line="240" w:lineRule="auto"/>
              <w:rPr>
                <w:rFonts w:ascii="Times New Roman" w:eastAsia="Times New Roman" w:hAnsi="Times New Roman" w:cs="Times New Roman"/>
                <w:sz w:val="24"/>
                <w:szCs w:val="24"/>
              </w:rPr>
            </w:pPr>
            <w:hyperlink r:id="rId21" w:history="1">
              <w:r w:rsidR="009476CA">
                <w:rPr>
                  <w:rFonts w:ascii="Times New Roman" w:eastAsia="Times New Roman" w:hAnsi="Times New Roman" w:cs="Times New Roman"/>
                  <w:color w:val="0070C0"/>
                  <w:sz w:val="24"/>
                  <w:szCs w:val="24"/>
                </w:rPr>
                <w:t>899-</w:t>
              </w:r>
              <w:r w:rsidR="007A195B" w:rsidRPr="00A134BA">
                <w:rPr>
                  <w:rFonts w:ascii="Times New Roman" w:eastAsia="Times New Roman" w:hAnsi="Times New Roman" w:cs="Times New Roman"/>
                  <w:color w:val="0070C0"/>
                  <w:sz w:val="24"/>
                  <w:szCs w:val="24"/>
                </w:rPr>
                <w:t>8</w:t>
              </w:r>
            </w:hyperlink>
          </w:p>
        </w:tc>
        <w:tc>
          <w:tcPr>
            <w:tcW w:w="4408" w:type="pct"/>
            <w:hideMark/>
          </w:tcPr>
          <w:p w:rsidR="007A195B" w:rsidRPr="0013314A" w:rsidRDefault="007A195B" w:rsidP="007A195B">
            <w:pPr>
              <w:spacing w:after="0" w:line="240" w:lineRule="auto"/>
              <w:rPr>
                <w:rFonts w:ascii="Times New Roman" w:eastAsia="Times New Roman" w:hAnsi="Times New Roman" w:cs="Times New Roman"/>
                <w:sz w:val="20"/>
                <w:szCs w:val="20"/>
              </w:rPr>
            </w:pPr>
            <w:r w:rsidRPr="00A134BA">
              <w:rPr>
                <w:rFonts w:ascii="Times New Roman" w:eastAsia="Times New Roman" w:hAnsi="Times New Roman" w:cs="Times New Roman"/>
                <w:color w:val="0070C0"/>
                <w:sz w:val="24"/>
                <w:szCs w:val="24"/>
              </w:rPr>
              <w:t xml:space="preserve">Remediation and Reclamation Services </w:t>
            </w:r>
            <w:r w:rsidRPr="0013314A">
              <w:rPr>
                <w:rFonts w:ascii="Times New Roman" w:eastAsia="Times New Roman" w:hAnsi="Times New Roman" w:cs="Times New Roman"/>
                <w:sz w:val="20"/>
                <w:szCs w:val="20"/>
              </w:rPr>
              <w:t xml:space="preserve">- Remediation services include, but are not limited to: Excavation, removal and disposal of hazardous waste; Site preparation, characterization, field investigation, conservation and closures; Wetland restoration; Emergency response clean up (ERC); Underground storage tank/above-ground storage tank (UST/AST) removal; Air monitoring; Soil vapor extraction; Stabilization/solidification, bio-venting, carbon absorption, reactive walls, containment, monitoring and/or reduction of hazardous waste sites, as well as unexploded ordnance removal; Remediation-related laboratory testing (e.g., biological, chemical, physical, pollution and soil testing). Reclamation services include, but are not limited to: Land (e.g., creating new </w:t>
            </w:r>
            <w:r w:rsidRPr="0013314A">
              <w:rPr>
                <w:rFonts w:ascii="Times New Roman" w:eastAsia="Times New Roman" w:hAnsi="Times New Roman" w:cs="Times New Roman"/>
                <w:sz w:val="20"/>
                <w:szCs w:val="20"/>
              </w:rPr>
              <w:br/>
              <w:t xml:space="preserve">land from sea or riverbeds and/or restoring areas to a more natural state, such as after pollution, desertification, or </w:t>
            </w:r>
            <w:proofErr w:type="spellStart"/>
            <w:r w:rsidRPr="0013314A">
              <w:rPr>
                <w:rFonts w:ascii="Times New Roman" w:eastAsia="Times New Roman" w:hAnsi="Times New Roman" w:cs="Times New Roman"/>
                <w:sz w:val="20"/>
                <w:szCs w:val="20"/>
              </w:rPr>
              <w:t>salination</w:t>
            </w:r>
            <w:proofErr w:type="spellEnd"/>
            <w:r w:rsidRPr="0013314A">
              <w:rPr>
                <w:rFonts w:ascii="Times New Roman" w:eastAsia="Times New Roman" w:hAnsi="Times New Roman" w:cs="Times New Roman"/>
                <w:sz w:val="20"/>
                <w:szCs w:val="20"/>
              </w:rPr>
              <w:t xml:space="preserve"> have made it unusable); and Water and refrigerant reclamation. </w:t>
            </w:r>
            <w:r w:rsidRPr="0013314A">
              <w:rPr>
                <w:rFonts w:ascii="Times New Roman" w:eastAsia="Times New Roman" w:hAnsi="Times New Roman" w:cs="Times New Roman"/>
                <w:sz w:val="20"/>
                <w:szCs w:val="20"/>
              </w:rPr>
              <w:br/>
              <w:t>Note: Services offered under this SIN shall NOT include any remediation/transportation/disposal of radioactive waste, asbestos removal and/or paint removal, construction and architect-engineer services as set forth in FAR Part 36 (including construction, alteration or repair of buildings, structures, or other real property). Disposal services performed under SIN must be ancillary to remediation services performed.</w:t>
            </w:r>
          </w:p>
        </w:tc>
      </w:tr>
      <w:tr w:rsidR="0013314A" w:rsidRPr="0013314A" w:rsidTr="007A195B">
        <w:trPr>
          <w:trHeight w:val="239"/>
          <w:tblCellSpacing w:w="12" w:type="dxa"/>
        </w:trPr>
        <w:tc>
          <w:tcPr>
            <w:tcW w:w="555" w:type="pct"/>
            <w:noWrap/>
            <w:hideMark/>
          </w:tcPr>
          <w:p w:rsidR="007A195B" w:rsidRPr="00A134BA" w:rsidRDefault="0097667F" w:rsidP="007A195B">
            <w:pPr>
              <w:spacing w:after="0" w:line="240" w:lineRule="auto"/>
              <w:rPr>
                <w:rFonts w:ascii="Times New Roman" w:eastAsia="Times New Roman" w:hAnsi="Times New Roman" w:cs="Times New Roman"/>
                <w:sz w:val="24"/>
                <w:szCs w:val="24"/>
              </w:rPr>
            </w:pPr>
            <w:hyperlink r:id="rId22" w:history="1">
              <w:r w:rsidR="009476CA">
                <w:rPr>
                  <w:rFonts w:ascii="Times New Roman" w:eastAsia="Times New Roman" w:hAnsi="Times New Roman" w:cs="Times New Roman"/>
                  <w:color w:val="0070C0"/>
                  <w:sz w:val="24"/>
                  <w:szCs w:val="24"/>
                </w:rPr>
                <w:t>899-</w:t>
              </w:r>
              <w:r w:rsidR="007A195B" w:rsidRPr="00A134BA">
                <w:rPr>
                  <w:rFonts w:ascii="Times New Roman" w:eastAsia="Times New Roman" w:hAnsi="Times New Roman" w:cs="Times New Roman"/>
                  <w:color w:val="0070C0"/>
                  <w:sz w:val="24"/>
                  <w:szCs w:val="24"/>
                </w:rPr>
                <w:t>10</w:t>
              </w:r>
            </w:hyperlink>
          </w:p>
        </w:tc>
        <w:tc>
          <w:tcPr>
            <w:tcW w:w="4408" w:type="pct"/>
            <w:hideMark/>
          </w:tcPr>
          <w:p w:rsidR="007A195B" w:rsidRPr="0013314A" w:rsidRDefault="007A195B" w:rsidP="007A195B">
            <w:pPr>
              <w:spacing w:after="0" w:line="240" w:lineRule="auto"/>
              <w:rPr>
                <w:rFonts w:ascii="Times New Roman" w:eastAsia="Times New Roman" w:hAnsi="Times New Roman" w:cs="Times New Roman"/>
                <w:sz w:val="20"/>
                <w:szCs w:val="20"/>
              </w:rPr>
            </w:pPr>
            <w:r w:rsidRPr="00A134BA">
              <w:rPr>
                <w:rFonts w:ascii="Times New Roman" w:eastAsia="Times New Roman" w:hAnsi="Times New Roman" w:cs="Times New Roman"/>
                <w:color w:val="0070C0"/>
                <w:sz w:val="24"/>
                <w:szCs w:val="24"/>
              </w:rPr>
              <w:t>Ancillary Supplies and/or Services</w:t>
            </w:r>
            <w:r w:rsidRPr="008B214A">
              <w:rPr>
                <w:rFonts w:ascii="Times New Roman" w:eastAsia="Times New Roman" w:hAnsi="Times New Roman" w:cs="Times New Roman"/>
                <w:color w:val="0070C0"/>
                <w:sz w:val="20"/>
                <w:szCs w:val="20"/>
              </w:rPr>
              <w:t xml:space="preserve"> </w:t>
            </w:r>
            <w:r w:rsidRPr="0013314A">
              <w:rPr>
                <w:rFonts w:ascii="Times New Roman" w:eastAsia="Times New Roman" w:hAnsi="Times New Roman" w:cs="Times New Roman"/>
                <w:sz w:val="20"/>
                <w:szCs w:val="20"/>
              </w:rPr>
              <w:t xml:space="preserve">- Ancillary supplies and/or services are for orders and blanket purchase agreements that complete work or a project that is solely associated with the supplies and/or services purchased under this schedule. This SIN EXCLUDES purchases that are exclusively for supplies and/or services already available under another schedule. </w:t>
            </w:r>
            <w:r w:rsidRPr="0013314A">
              <w:rPr>
                <w:rFonts w:ascii="Times New Roman" w:eastAsia="Times New Roman" w:hAnsi="Times New Roman" w:cs="Times New Roman"/>
                <w:sz w:val="20"/>
                <w:szCs w:val="20"/>
              </w:rPr>
              <w:br/>
            </w:r>
            <w:r w:rsidRPr="0013314A">
              <w:rPr>
                <w:rFonts w:ascii="Times New Roman" w:eastAsia="Times New Roman" w:hAnsi="Times New Roman" w:cs="Times New Roman"/>
                <w:sz w:val="20"/>
                <w:szCs w:val="20"/>
              </w:rPr>
              <w:br/>
              <w:t xml:space="preserve">Special Instructions: The work performed under this SIN shall be associated with existing SIN(s) that are part of this schedule. Ancillary supplies and/or services shall not be the primary purpose of the work ordered, but be an integral part of the total solution offered. Ancillary supplies and/or services may only be ordered in conjunction with or in support of supplies or services purchased under another SIN(s) of the same schedule. </w:t>
            </w:r>
            <w:proofErr w:type="spellStart"/>
            <w:r w:rsidRPr="0013314A">
              <w:rPr>
                <w:rFonts w:ascii="Times New Roman" w:eastAsia="Times New Roman" w:hAnsi="Times New Roman" w:cs="Times New Roman"/>
                <w:sz w:val="20"/>
                <w:szCs w:val="20"/>
              </w:rPr>
              <w:t>Offerors</w:t>
            </w:r>
            <w:proofErr w:type="spellEnd"/>
            <w:r w:rsidRPr="0013314A">
              <w:rPr>
                <w:rFonts w:ascii="Times New Roman" w:eastAsia="Times New Roman" w:hAnsi="Times New Roman" w:cs="Times New Roman"/>
                <w:sz w:val="20"/>
                <w:szCs w:val="20"/>
              </w:rPr>
              <w:t xml:space="preserve"> may be required to provide additional information to support that their proposed Ancillary supplies and/or services are commercially offered in support of one or more SINs under this schedule.</w:t>
            </w:r>
          </w:p>
        </w:tc>
      </w:tr>
      <w:tr w:rsidR="0013314A" w:rsidRPr="0013314A" w:rsidTr="007A195B">
        <w:trPr>
          <w:trHeight w:val="1214"/>
          <w:tblCellSpacing w:w="12" w:type="dxa"/>
        </w:trPr>
        <w:tc>
          <w:tcPr>
            <w:tcW w:w="555" w:type="pct"/>
            <w:noWrap/>
            <w:hideMark/>
          </w:tcPr>
          <w:p w:rsidR="007A195B" w:rsidRPr="00A134BA" w:rsidRDefault="0097667F" w:rsidP="007A195B">
            <w:pPr>
              <w:spacing w:after="0" w:line="240" w:lineRule="auto"/>
              <w:rPr>
                <w:rFonts w:ascii="Times New Roman" w:eastAsia="Times New Roman" w:hAnsi="Times New Roman" w:cs="Times New Roman"/>
                <w:sz w:val="24"/>
                <w:szCs w:val="24"/>
              </w:rPr>
            </w:pPr>
            <w:hyperlink r:id="rId23" w:history="1">
              <w:r w:rsidR="009476CA">
                <w:rPr>
                  <w:rFonts w:ascii="Times New Roman" w:eastAsia="Times New Roman" w:hAnsi="Times New Roman" w:cs="Times New Roman"/>
                  <w:color w:val="0070C0"/>
                  <w:sz w:val="24"/>
                  <w:szCs w:val="24"/>
                </w:rPr>
                <w:t>899-</w:t>
              </w:r>
              <w:r w:rsidR="007A195B" w:rsidRPr="00A134BA">
                <w:rPr>
                  <w:rFonts w:ascii="Times New Roman" w:eastAsia="Times New Roman" w:hAnsi="Times New Roman" w:cs="Times New Roman"/>
                  <w:color w:val="0070C0"/>
                  <w:sz w:val="24"/>
                  <w:szCs w:val="24"/>
                </w:rPr>
                <w:t>99</w:t>
              </w:r>
            </w:hyperlink>
          </w:p>
        </w:tc>
        <w:tc>
          <w:tcPr>
            <w:tcW w:w="4408" w:type="pct"/>
            <w:hideMark/>
          </w:tcPr>
          <w:p w:rsidR="007A195B" w:rsidRPr="0013314A" w:rsidRDefault="007A195B" w:rsidP="007A195B">
            <w:pPr>
              <w:spacing w:after="0" w:line="240" w:lineRule="auto"/>
              <w:rPr>
                <w:rFonts w:ascii="Times New Roman" w:eastAsia="Times New Roman" w:hAnsi="Times New Roman" w:cs="Times New Roman"/>
                <w:sz w:val="20"/>
                <w:szCs w:val="20"/>
              </w:rPr>
            </w:pPr>
            <w:r w:rsidRPr="00A134BA">
              <w:rPr>
                <w:rFonts w:ascii="Times New Roman" w:eastAsia="Times New Roman" w:hAnsi="Times New Roman" w:cs="Times New Roman"/>
                <w:color w:val="0070C0"/>
                <w:sz w:val="24"/>
                <w:szCs w:val="24"/>
              </w:rPr>
              <w:t>New Technology</w:t>
            </w:r>
            <w:r w:rsidRPr="008B214A">
              <w:rPr>
                <w:rFonts w:ascii="Times New Roman" w:eastAsia="Times New Roman" w:hAnsi="Times New Roman" w:cs="Times New Roman"/>
                <w:color w:val="0070C0"/>
                <w:sz w:val="20"/>
                <w:szCs w:val="20"/>
              </w:rPr>
              <w:t xml:space="preserve"> </w:t>
            </w:r>
            <w:r w:rsidRPr="0013314A">
              <w:rPr>
                <w:rFonts w:ascii="Times New Roman" w:eastAsia="Times New Roman" w:hAnsi="Times New Roman" w:cs="Times New Roman"/>
                <w:sz w:val="20"/>
                <w:szCs w:val="20"/>
              </w:rPr>
              <w:t>- A new or improved service that has the potential to provide more economical or efficient means for Federal Agencies to accomplish their mission.</w:t>
            </w:r>
          </w:p>
        </w:tc>
      </w:tr>
    </w:tbl>
    <w:p w:rsidR="00F56464" w:rsidRPr="0013314A" w:rsidRDefault="00F56464">
      <w:pPr>
        <w:rPr>
          <w:rFonts w:ascii="Times New Roman" w:hAnsi="Times New Roman" w:cs="Times New Roman"/>
          <w:sz w:val="20"/>
          <w:szCs w:val="20"/>
        </w:rPr>
      </w:pPr>
      <w:bookmarkStart w:id="0" w:name="_GoBack"/>
      <w:bookmarkEnd w:id="0"/>
    </w:p>
    <w:sectPr w:rsidR="00F56464" w:rsidRPr="0013314A">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7F" w:rsidRDefault="0097667F" w:rsidP="000C727F">
      <w:pPr>
        <w:spacing w:after="0" w:line="240" w:lineRule="auto"/>
      </w:pPr>
      <w:r>
        <w:separator/>
      </w:r>
    </w:p>
  </w:endnote>
  <w:endnote w:type="continuationSeparator" w:id="0">
    <w:p w:rsidR="0097667F" w:rsidRDefault="0097667F" w:rsidP="000C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A5" w:rsidRDefault="009F5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A5" w:rsidRDefault="009F5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A5" w:rsidRDefault="009F5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7F" w:rsidRDefault="0097667F" w:rsidP="000C727F">
      <w:pPr>
        <w:spacing w:after="0" w:line="240" w:lineRule="auto"/>
      </w:pPr>
      <w:r>
        <w:separator/>
      </w:r>
    </w:p>
  </w:footnote>
  <w:footnote w:type="continuationSeparator" w:id="0">
    <w:p w:rsidR="0097667F" w:rsidRDefault="0097667F" w:rsidP="000C7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A5" w:rsidRDefault="009F5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7F" w:rsidRDefault="000C727F">
    <w:pPr>
      <w:pStyle w:val="Header"/>
    </w:pPr>
    <w:r>
      <w:t>GS10F0071W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A5" w:rsidRDefault="009F5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01E26"/>
    <w:multiLevelType w:val="multilevel"/>
    <w:tmpl w:val="BA96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5B"/>
    <w:rsid w:val="000A2A9D"/>
    <w:rsid w:val="000C727F"/>
    <w:rsid w:val="000D5509"/>
    <w:rsid w:val="000F25AD"/>
    <w:rsid w:val="0013314A"/>
    <w:rsid w:val="00145189"/>
    <w:rsid w:val="00152B5B"/>
    <w:rsid w:val="002E32D3"/>
    <w:rsid w:val="004B4378"/>
    <w:rsid w:val="00527890"/>
    <w:rsid w:val="005F4D1C"/>
    <w:rsid w:val="006A4498"/>
    <w:rsid w:val="007A195B"/>
    <w:rsid w:val="008B214A"/>
    <w:rsid w:val="009476CA"/>
    <w:rsid w:val="00955886"/>
    <w:rsid w:val="0097667F"/>
    <w:rsid w:val="009F5BA5"/>
    <w:rsid w:val="00A134BA"/>
    <w:rsid w:val="00A91561"/>
    <w:rsid w:val="00B063BD"/>
    <w:rsid w:val="00B23EA8"/>
    <w:rsid w:val="00BB0CCB"/>
    <w:rsid w:val="00BD6A40"/>
    <w:rsid w:val="00C225BC"/>
    <w:rsid w:val="00E112E8"/>
    <w:rsid w:val="00F5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5B"/>
    <w:rPr>
      <w:rFonts w:ascii="Tahoma" w:hAnsi="Tahoma" w:cs="Tahoma"/>
      <w:sz w:val="16"/>
      <w:szCs w:val="16"/>
    </w:rPr>
  </w:style>
  <w:style w:type="paragraph" w:styleId="Header">
    <w:name w:val="header"/>
    <w:basedOn w:val="Normal"/>
    <w:link w:val="HeaderChar"/>
    <w:uiPriority w:val="99"/>
    <w:unhideWhenUsed/>
    <w:rsid w:val="000C7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27F"/>
  </w:style>
  <w:style w:type="paragraph" w:styleId="Footer">
    <w:name w:val="footer"/>
    <w:basedOn w:val="Normal"/>
    <w:link w:val="FooterChar"/>
    <w:uiPriority w:val="99"/>
    <w:unhideWhenUsed/>
    <w:rsid w:val="000C7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7F"/>
  </w:style>
  <w:style w:type="character" w:styleId="Hyperlink">
    <w:name w:val="Hyperlink"/>
    <w:basedOn w:val="DefaultParagraphFont"/>
    <w:uiPriority w:val="99"/>
    <w:semiHidden/>
    <w:unhideWhenUsed/>
    <w:rsid w:val="00E112E8"/>
    <w:rPr>
      <w:strike w:val="0"/>
      <w:dstrike w:val="0"/>
      <w:color w:val="990000"/>
      <w:u w:val="none"/>
      <w:effect w:val="none"/>
    </w:rPr>
  </w:style>
  <w:style w:type="paragraph" w:styleId="z-TopofForm">
    <w:name w:val="HTML Top of Form"/>
    <w:basedOn w:val="Normal"/>
    <w:next w:val="Normal"/>
    <w:link w:val="z-TopofFormChar"/>
    <w:hidden/>
    <w:uiPriority w:val="99"/>
    <w:semiHidden/>
    <w:unhideWhenUsed/>
    <w:rsid w:val="00E112E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12E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112E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12E8"/>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5B"/>
    <w:rPr>
      <w:rFonts w:ascii="Tahoma" w:hAnsi="Tahoma" w:cs="Tahoma"/>
      <w:sz w:val="16"/>
      <w:szCs w:val="16"/>
    </w:rPr>
  </w:style>
  <w:style w:type="paragraph" w:styleId="Header">
    <w:name w:val="header"/>
    <w:basedOn w:val="Normal"/>
    <w:link w:val="HeaderChar"/>
    <w:uiPriority w:val="99"/>
    <w:unhideWhenUsed/>
    <w:rsid w:val="000C7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27F"/>
  </w:style>
  <w:style w:type="paragraph" w:styleId="Footer">
    <w:name w:val="footer"/>
    <w:basedOn w:val="Normal"/>
    <w:link w:val="FooterChar"/>
    <w:uiPriority w:val="99"/>
    <w:unhideWhenUsed/>
    <w:rsid w:val="000C7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7F"/>
  </w:style>
  <w:style w:type="character" w:styleId="Hyperlink">
    <w:name w:val="Hyperlink"/>
    <w:basedOn w:val="DefaultParagraphFont"/>
    <w:uiPriority w:val="99"/>
    <w:semiHidden/>
    <w:unhideWhenUsed/>
    <w:rsid w:val="00E112E8"/>
    <w:rPr>
      <w:strike w:val="0"/>
      <w:dstrike w:val="0"/>
      <w:color w:val="990000"/>
      <w:u w:val="none"/>
      <w:effect w:val="none"/>
    </w:rPr>
  </w:style>
  <w:style w:type="paragraph" w:styleId="z-TopofForm">
    <w:name w:val="HTML Top of Form"/>
    <w:basedOn w:val="Normal"/>
    <w:next w:val="Normal"/>
    <w:link w:val="z-TopofFormChar"/>
    <w:hidden/>
    <w:uiPriority w:val="99"/>
    <w:semiHidden/>
    <w:unhideWhenUsed/>
    <w:rsid w:val="00E112E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12E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112E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12E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5814">
      <w:bodyDiv w:val="1"/>
      <w:marLeft w:val="0"/>
      <w:marRight w:val="0"/>
      <w:marTop w:val="0"/>
      <w:marBottom w:val="0"/>
      <w:divBdr>
        <w:top w:val="none" w:sz="0" w:space="0" w:color="auto"/>
        <w:left w:val="none" w:sz="0" w:space="0" w:color="auto"/>
        <w:bottom w:val="none" w:sz="0" w:space="0" w:color="auto"/>
        <w:right w:val="none" w:sz="0" w:space="0" w:color="auto"/>
      </w:divBdr>
      <w:divsChild>
        <w:div w:id="606043633">
          <w:marLeft w:val="0"/>
          <w:marRight w:val="0"/>
          <w:marTop w:val="0"/>
          <w:marBottom w:val="0"/>
          <w:divBdr>
            <w:top w:val="none" w:sz="0" w:space="0" w:color="auto"/>
            <w:left w:val="none" w:sz="0" w:space="0" w:color="auto"/>
            <w:bottom w:val="none" w:sz="0" w:space="0" w:color="auto"/>
            <w:right w:val="none" w:sz="0" w:space="0" w:color="auto"/>
          </w:divBdr>
          <w:divsChild>
            <w:div w:id="736242512">
              <w:marLeft w:val="0"/>
              <w:marRight w:val="30"/>
              <w:marTop w:val="0"/>
              <w:marBottom w:val="0"/>
              <w:divBdr>
                <w:top w:val="none" w:sz="0" w:space="0" w:color="auto"/>
                <w:left w:val="none" w:sz="0" w:space="0" w:color="auto"/>
                <w:bottom w:val="none" w:sz="0" w:space="0" w:color="auto"/>
                <w:right w:val="none" w:sz="0" w:space="0" w:color="auto"/>
              </w:divBdr>
              <w:divsChild>
                <w:div w:id="1812554643">
                  <w:marLeft w:val="0"/>
                  <w:marRight w:val="0"/>
                  <w:marTop w:val="0"/>
                  <w:marBottom w:val="0"/>
                  <w:divBdr>
                    <w:top w:val="none" w:sz="0" w:space="0" w:color="auto"/>
                    <w:left w:val="none" w:sz="0" w:space="0" w:color="auto"/>
                    <w:bottom w:val="none" w:sz="0" w:space="0" w:color="auto"/>
                    <w:right w:val="none" w:sz="0" w:space="0" w:color="auto"/>
                  </w:divBdr>
                  <w:divsChild>
                    <w:div w:id="967003965">
                      <w:marLeft w:val="0"/>
                      <w:marRight w:val="0"/>
                      <w:marTop w:val="0"/>
                      <w:marBottom w:val="0"/>
                      <w:divBdr>
                        <w:top w:val="none" w:sz="0" w:space="0" w:color="auto"/>
                        <w:left w:val="none" w:sz="0" w:space="0" w:color="auto"/>
                        <w:bottom w:val="none" w:sz="0" w:space="0" w:color="auto"/>
                        <w:right w:val="none" w:sz="0" w:space="0" w:color="auto"/>
                      </w:divBdr>
                      <w:divsChild>
                        <w:div w:id="1045176166">
                          <w:marLeft w:val="0"/>
                          <w:marRight w:val="300"/>
                          <w:marTop w:val="0"/>
                          <w:marBottom w:val="0"/>
                          <w:divBdr>
                            <w:top w:val="single" w:sz="36" w:space="0" w:color="D0D8EF"/>
                            <w:left w:val="single" w:sz="36" w:space="0" w:color="D0D8EF"/>
                            <w:bottom w:val="single" w:sz="36" w:space="0" w:color="D0D8EF"/>
                            <w:right w:val="single" w:sz="36" w:space="0" w:color="D0D8EF"/>
                          </w:divBdr>
                        </w:div>
                      </w:divsChild>
                    </w:div>
                  </w:divsChild>
                </w:div>
              </w:divsChild>
            </w:div>
          </w:divsChild>
        </w:div>
      </w:divsChild>
    </w:div>
    <w:div w:id="1788430783">
      <w:bodyDiv w:val="1"/>
      <w:marLeft w:val="0"/>
      <w:marRight w:val="0"/>
      <w:marTop w:val="0"/>
      <w:marBottom w:val="0"/>
      <w:divBdr>
        <w:top w:val="none" w:sz="0" w:space="0" w:color="auto"/>
        <w:left w:val="none" w:sz="0" w:space="0" w:color="auto"/>
        <w:bottom w:val="none" w:sz="0" w:space="0" w:color="auto"/>
        <w:right w:val="none" w:sz="0" w:space="0" w:color="auto"/>
      </w:divBdr>
      <w:divsChild>
        <w:div w:id="1527324984">
          <w:marLeft w:val="0"/>
          <w:marRight w:val="0"/>
          <w:marTop w:val="0"/>
          <w:marBottom w:val="0"/>
          <w:divBdr>
            <w:top w:val="none" w:sz="0" w:space="0" w:color="auto"/>
            <w:left w:val="none" w:sz="0" w:space="0" w:color="auto"/>
            <w:bottom w:val="none" w:sz="0" w:space="0" w:color="auto"/>
            <w:right w:val="none" w:sz="0" w:space="0" w:color="auto"/>
          </w:divBdr>
          <w:divsChild>
            <w:div w:id="542408298">
              <w:marLeft w:val="0"/>
              <w:marRight w:val="30"/>
              <w:marTop w:val="0"/>
              <w:marBottom w:val="0"/>
              <w:divBdr>
                <w:top w:val="none" w:sz="0" w:space="0" w:color="auto"/>
                <w:left w:val="none" w:sz="0" w:space="0" w:color="auto"/>
                <w:bottom w:val="none" w:sz="0" w:space="0" w:color="auto"/>
                <w:right w:val="none" w:sz="0" w:space="0" w:color="auto"/>
              </w:divBdr>
              <w:divsChild>
                <w:div w:id="86317005">
                  <w:marLeft w:val="0"/>
                  <w:marRight w:val="0"/>
                  <w:marTop w:val="0"/>
                  <w:marBottom w:val="0"/>
                  <w:divBdr>
                    <w:top w:val="none" w:sz="0" w:space="0" w:color="auto"/>
                    <w:left w:val="none" w:sz="0" w:space="0" w:color="auto"/>
                    <w:bottom w:val="none" w:sz="0" w:space="0" w:color="auto"/>
                    <w:right w:val="none" w:sz="0" w:space="0" w:color="auto"/>
                  </w:divBdr>
                  <w:divsChild>
                    <w:div w:id="779036154">
                      <w:marLeft w:val="0"/>
                      <w:marRight w:val="0"/>
                      <w:marTop w:val="0"/>
                      <w:marBottom w:val="0"/>
                      <w:divBdr>
                        <w:top w:val="none" w:sz="0" w:space="0" w:color="auto"/>
                        <w:left w:val="none" w:sz="0" w:space="0" w:color="auto"/>
                        <w:bottom w:val="none" w:sz="0" w:space="0" w:color="auto"/>
                        <w:right w:val="none" w:sz="0" w:space="0" w:color="auto"/>
                      </w:divBdr>
                      <w:divsChild>
                        <w:div w:id="8348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3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aelibrary.gsa.gov/ElibMain/sinDetails.do?executeQuery=YES&amp;scheduleNumber=899&amp;flag=&amp;filter=&amp;specialItemNumber=899+7" TargetMode="External"/><Relationship Id="rId18" Type="http://schemas.openxmlformats.org/officeDocument/2006/relationships/hyperlink" Target="http://www.gsaelibrary.gsa.gov/ElibMain/sinDetails.do;jsessionid=A0AD606433BE429AF8D666D4A8AC8607.prd1pweb?executeQuery=YES&amp;scheduleNumber=899&amp;flag=&amp;filter=&amp;specialItemNumber=899+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saelibrary.gsa.gov/ElibMain/sinDetails.do;jsessionid=A0AD606433BE429AF8D666D4A8AC8607.prd1pweb?executeQuery=YES&amp;scheduleNumber=899&amp;flag=&amp;filter=&amp;specialItemNumber=899+8" TargetMode="External"/><Relationship Id="rId7" Type="http://schemas.openxmlformats.org/officeDocument/2006/relationships/footnotes" Target="footnotes.xml"/><Relationship Id="rId12" Type="http://schemas.openxmlformats.org/officeDocument/2006/relationships/hyperlink" Target="http://www.gsaelibrary.gsa.gov/ElibMain/sinDetails.do?executeQuery=YES&amp;scheduleNumber=899&amp;flag=&amp;filter=&amp;specialItemNumber=899+5" TargetMode="External"/><Relationship Id="rId17" Type="http://schemas.openxmlformats.org/officeDocument/2006/relationships/hyperlink" Target="http://www.gsaelibrary.gsa.gov/ElibMain/sinDetails.do;jsessionid=A0AD606433BE429AF8D666D4A8AC8607.prd1pweb?executeQuery=YES&amp;scheduleNumber=899&amp;flag=&amp;filter=&amp;specialItemNumber=899+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saelibrary.gsa.gov/ElibMain/sinDetails.do?scheduleNumber=899&amp;specialItemNumber=899+99&amp;executeQuery=YES" TargetMode="External"/><Relationship Id="rId20" Type="http://schemas.openxmlformats.org/officeDocument/2006/relationships/hyperlink" Target="http://www.gsaelibrary.gsa.gov/ElibMain/sinDetails.do;jsessionid=A0AD606433BE429AF8D666D4A8AC8607.prd1pweb?executeQuery=YES&amp;scheduleNumber=899&amp;flag=&amp;filter=&amp;specialItemNumber=899+7"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aelibrary.gsa.gov/ElibMain/sinDetails.do?executeQuery=YES&amp;scheduleNumber=899&amp;flag=&amp;filter=&amp;specialItemNumber=899+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saelibrary.gsa.gov/ElibMain/sinDetails.do?scheduleNumber=899&amp;specialItemNumber=899+10&amp;executeQuery=YES" TargetMode="External"/><Relationship Id="rId23" Type="http://schemas.openxmlformats.org/officeDocument/2006/relationships/hyperlink" Target="http://www.gsaelibrary.gsa.gov/ElibMain/sinDetails.do;jsessionid=A0AD606433BE429AF8D666D4A8AC8607.prd1pweb?executeQuery=YES&amp;scheduleNumber=899&amp;flag=&amp;filter=&amp;specialItemNumber=899+99" TargetMode="External"/><Relationship Id="rId28" Type="http://schemas.openxmlformats.org/officeDocument/2006/relationships/header" Target="header3.xml"/><Relationship Id="rId10" Type="http://schemas.openxmlformats.org/officeDocument/2006/relationships/hyperlink" Target="http://www.gsaelibrary.gsa.gov/ElibMain/sinDetails.do?executeQuery=YES&amp;scheduleNumber=899&amp;flag=&amp;filter=&amp;specialItemNumber=899+1" TargetMode="External"/><Relationship Id="rId19" Type="http://schemas.openxmlformats.org/officeDocument/2006/relationships/hyperlink" Target="http://www.gsaelibrary.gsa.gov/ElibMain/sinDetails.do;jsessionid=A0AD606433BE429AF8D666D4A8AC8607.prd1pweb?executeQuery=YES&amp;scheduleNumber=899&amp;flag=&amp;filter=&amp;specialItemNumber=899+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saelibrary.gsa.gov/ElibMain/scheduleSummary.do?scheduleNumber=899" TargetMode="External"/><Relationship Id="rId14" Type="http://schemas.openxmlformats.org/officeDocument/2006/relationships/hyperlink" Target="http://www.gsaelibrary.gsa.gov/ElibMain/sinDetails.do?executeQuery=YES&amp;scheduleNumber=899&amp;flag=&amp;filter=&amp;specialItemNumber=899+8" TargetMode="External"/><Relationship Id="rId22" Type="http://schemas.openxmlformats.org/officeDocument/2006/relationships/hyperlink" Target="http://www.gsaelibrary.gsa.gov/ElibMain/sinDetails.do;jsessionid=A0AD606433BE429AF8D666D4A8AC8607.prd1pweb?executeQuery=YES&amp;scheduleNumber=899&amp;flag=&amp;filter=&amp;specialItemNumber=899+1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E110-6562-45E3-8ACF-1A151D1C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Majoros</dc:creator>
  <cp:lastModifiedBy>Michael Majoros</cp:lastModifiedBy>
  <cp:revision>30</cp:revision>
  <cp:lastPrinted>2014-08-04T21:05:00Z</cp:lastPrinted>
  <dcterms:created xsi:type="dcterms:W3CDTF">2014-06-18T18:59:00Z</dcterms:created>
  <dcterms:modified xsi:type="dcterms:W3CDTF">2014-08-07T13:37:00Z</dcterms:modified>
</cp:coreProperties>
</file>